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1694" w14:textId="77777777" w:rsidR="008629C3" w:rsidRDefault="008629C3" w:rsidP="008629C3">
      <w:pPr>
        <w:spacing w:after="160" w:line="259" w:lineRule="auto"/>
      </w:pPr>
    </w:p>
    <w:tbl>
      <w:tblPr>
        <w:tblW w:w="0" w:type="auto"/>
        <w:tblInd w:w="3612" w:type="dxa"/>
        <w:tblLook w:val="0000" w:firstRow="0" w:lastRow="0" w:firstColumn="0" w:lastColumn="0" w:noHBand="0" w:noVBand="0"/>
      </w:tblPr>
      <w:tblGrid>
        <w:gridCol w:w="1896"/>
      </w:tblGrid>
      <w:tr w:rsidR="008629C3" w14:paraId="3783F3EA" w14:textId="77777777" w:rsidTr="00D93C17">
        <w:trPr>
          <w:trHeight w:val="1346"/>
        </w:trPr>
        <w:tc>
          <w:tcPr>
            <w:tcW w:w="1896" w:type="dxa"/>
            <w:shd w:val="clear" w:color="auto" w:fill="auto"/>
            <w:vAlign w:val="center"/>
          </w:tcPr>
          <w:p w14:paraId="05E82FF1" w14:textId="77777777" w:rsidR="008629C3" w:rsidRDefault="008629C3" w:rsidP="00D93C17">
            <w:pPr>
              <w:jc w:val="center"/>
            </w:pPr>
            <w:r>
              <w:rPr>
                <w:noProof/>
              </w:rPr>
              <w:drawing>
                <wp:inline distT="0" distB="0" distL="0" distR="0" wp14:anchorId="0F62EA43" wp14:editId="60C1D0AC">
                  <wp:extent cx="716915" cy="826770"/>
                  <wp:effectExtent l="19050" t="0" r="6985" b="0"/>
                  <wp:docPr id="37" name="Рисунок 37"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5" cstate="print">
                            <a:lum contrast="6000"/>
                          </a:blip>
                          <a:srcRect/>
                          <a:stretch>
                            <a:fillRect/>
                          </a:stretch>
                        </pic:blipFill>
                        <pic:spPr bwMode="auto">
                          <a:xfrm>
                            <a:off x="0" y="0"/>
                            <a:ext cx="716915" cy="826770"/>
                          </a:xfrm>
                          <a:prstGeom prst="rect">
                            <a:avLst/>
                          </a:prstGeom>
                          <a:noFill/>
                          <a:ln w="9525">
                            <a:noFill/>
                            <a:miter lim="800000"/>
                            <a:headEnd/>
                            <a:tailEnd/>
                          </a:ln>
                        </pic:spPr>
                      </pic:pic>
                    </a:graphicData>
                  </a:graphic>
                </wp:inline>
              </w:drawing>
            </w:r>
          </w:p>
        </w:tc>
      </w:tr>
    </w:tbl>
    <w:p w14:paraId="5C3116CC" w14:textId="77777777" w:rsidR="008629C3" w:rsidRDefault="008629C3" w:rsidP="008629C3">
      <w:pPr>
        <w:rPr>
          <w:sz w:val="4"/>
        </w:rPr>
      </w:pPr>
    </w:p>
    <w:tbl>
      <w:tblPr>
        <w:tblW w:w="0" w:type="auto"/>
        <w:tblInd w:w="36" w:type="dxa"/>
        <w:tblBorders>
          <w:top w:val="single" w:sz="4" w:space="0" w:color="auto"/>
        </w:tblBorders>
        <w:tblLook w:val="0000" w:firstRow="0" w:lastRow="0" w:firstColumn="0" w:lastColumn="0" w:noHBand="0" w:noVBand="0"/>
      </w:tblPr>
      <w:tblGrid>
        <w:gridCol w:w="4488"/>
        <w:gridCol w:w="240"/>
        <w:gridCol w:w="4239"/>
      </w:tblGrid>
      <w:tr w:rsidR="008629C3" w14:paraId="321C0040" w14:textId="77777777" w:rsidTr="00D93C17">
        <w:tc>
          <w:tcPr>
            <w:tcW w:w="4488" w:type="dxa"/>
            <w:tcBorders>
              <w:top w:val="nil"/>
              <w:left w:val="nil"/>
              <w:bottom w:val="nil"/>
              <w:right w:val="nil"/>
            </w:tcBorders>
            <w:shd w:val="clear" w:color="auto" w:fill="auto"/>
            <w:vAlign w:val="center"/>
          </w:tcPr>
          <w:p w14:paraId="62447230" w14:textId="77777777" w:rsidR="008629C3" w:rsidRDefault="008629C3" w:rsidP="00D93C17">
            <w:pPr>
              <w:jc w:val="center"/>
              <w:rPr>
                <w:b/>
                <w:bCs/>
                <w:spacing w:val="-10"/>
                <w:szCs w:val="28"/>
                <w:lang w:val="en-US"/>
              </w:rPr>
            </w:pPr>
            <w:r>
              <w:rPr>
                <w:b/>
                <w:bCs/>
                <w:spacing w:val="-10"/>
                <w:szCs w:val="28"/>
              </w:rPr>
              <w:t>ЗВЕНИГОВ</w:t>
            </w:r>
            <w:r>
              <w:rPr>
                <w:b/>
                <w:bCs/>
                <w:spacing w:val="-10"/>
                <w:szCs w:val="28"/>
                <w:lang w:val="en-US"/>
              </w:rPr>
              <w:t>О</w:t>
            </w:r>
          </w:p>
          <w:p w14:paraId="76DD92B8" w14:textId="77777777" w:rsidR="008629C3" w:rsidRDefault="008629C3" w:rsidP="00D93C17">
            <w:pPr>
              <w:jc w:val="center"/>
              <w:rPr>
                <w:b/>
                <w:bCs/>
                <w:spacing w:val="-10"/>
                <w:szCs w:val="28"/>
              </w:rPr>
            </w:pPr>
            <w:r>
              <w:rPr>
                <w:b/>
                <w:bCs/>
                <w:spacing w:val="-10"/>
                <w:szCs w:val="28"/>
              </w:rPr>
              <w:t xml:space="preserve">МУНИЦИПАЛ РАЙОНЫН  </w:t>
            </w:r>
          </w:p>
          <w:p w14:paraId="2D52A3A4" w14:textId="77777777" w:rsidR="008629C3" w:rsidRDefault="008629C3" w:rsidP="00D93C17">
            <w:pPr>
              <w:jc w:val="center"/>
              <w:rPr>
                <w:b/>
                <w:bCs/>
                <w:spacing w:val="-10"/>
                <w:szCs w:val="28"/>
              </w:rPr>
            </w:pPr>
            <w:r>
              <w:rPr>
                <w:b/>
                <w:bCs/>
                <w:spacing w:val="-10"/>
                <w:szCs w:val="28"/>
              </w:rPr>
              <w:t>ВУЙЛАТЫШ</w:t>
            </w:r>
          </w:p>
        </w:tc>
        <w:tc>
          <w:tcPr>
            <w:tcW w:w="240" w:type="dxa"/>
            <w:tcBorders>
              <w:top w:val="nil"/>
              <w:left w:val="nil"/>
              <w:bottom w:val="nil"/>
              <w:right w:val="nil"/>
            </w:tcBorders>
            <w:shd w:val="clear" w:color="auto" w:fill="auto"/>
          </w:tcPr>
          <w:p w14:paraId="565C9BB9" w14:textId="77777777" w:rsidR="008629C3" w:rsidRDefault="008629C3" w:rsidP="00D93C17"/>
        </w:tc>
        <w:tc>
          <w:tcPr>
            <w:tcW w:w="4239" w:type="dxa"/>
            <w:tcBorders>
              <w:top w:val="nil"/>
              <w:left w:val="nil"/>
              <w:bottom w:val="nil"/>
              <w:right w:val="nil"/>
            </w:tcBorders>
            <w:shd w:val="clear" w:color="auto" w:fill="auto"/>
          </w:tcPr>
          <w:p w14:paraId="39CEFD8C" w14:textId="77777777" w:rsidR="008629C3" w:rsidRDefault="008629C3" w:rsidP="00D93C17">
            <w:pPr>
              <w:pStyle w:val="a3"/>
            </w:pPr>
            <w:r>
              <w:t>ГЛАВА</w:t>
            </w:r>
          </w:p>
          <w:p w14:paraId="54E1A891" w14:textId="77777777" w:rsidR="008629C3" w:rsidRDefault="008629C3" w:rsidP="00D93C17">
            <w:pPr>
              <w:pStyle w:val="a3"/>
              <w:rPr>
                <w:spacing w:val="-6"/>
                <w:sz w:val="26"/>
              </w:rPr>
            </w:pPr>
            <w:r>
              <w:t>ЗВЕНИГОВСКОГО МУНИЦИПАЛЬНОГО РАЙОНА</w:t>
            </w:r>
          </w:p>
          <w:p w14:paraId="700CB22B" w14:textId="77777777" w:rsidR="008629C3" w:rsidRDefault="008629C3" w:rsidP="00D93C17">
            <w:pPr>
              <w:jc w:val="center"/>
              <w:rPr>
                <w:sz w:val="12"/>
              </w:rPr>
            </w:pPr>
          </w:p>
        </w:tc>
      </w:tr>
    </w:tbl>
    <w:p w14:paraId="77426EFD" w14:textId="77777777" w:rsidR="008629C3" w:rsidRDefault="008629C3" w:rsidP="008629C3"/>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80"/>
      </w:tblGrid>
      <w:tr w:rsidR="008629C3" w14:paraId="0075631E" w14:textId="77777777" w:rsidTr="00D93C17">
        <w:trPr>
          <w:jc w:val="center"/>
        </w:trPr>
        <w:tc>
          <w:tcPr>
            <w:tcW w:w="4648" w:type="dxa"/>
          </w:tcPr>
          <w:p w14:paraId="4AA8D4A6" w14:textId="77777777" w:rsidR="008629C3" w:rsidRDefault="008629C3" w:rsidP="00D93C17">
            <w:pPr>
              <w:jc w:val="center"/>
            </w:pPr>
            <w:r w:rsidRPr="00764849">
              <w:rPr>
                <w:b/>
                <w:szCs w:val="28"/>
              </w:rPr>
              <w:t>КУШТЫМАШ</w:t>
            </w:r>
          </w:p>
        </w:tc>
        <w:tc>
          <w:tcPr>
            <w:tcW w:w="4707" w:type="dxa"/>
          </w:tcPr>
          <w:p w14:paraId="49F2BE25" w14:textId="77777777" w:rsidR="008629C3" w:rsidRDefault="008629C3" w:rsidP="00D93C17">
            <w:pPr>
              <w:jc w:val="center"/>
            </w:pPr>
            <w:r w:rsidRPr="00764849">
              <w:rPr>
                <w:b/>
                <w:szCs w:val="28"/>
              </w:rPr>
              <w:t>РАСПОРЯЖЕНИЕ</w:t>
            </w:r>
          </w:p>
        </w:tc>
      </w:tr>
    </w:tbl>
    <w:p w14:paraId="326828ED" w14:textId="77777777" w:rsidR="008629C3" w:rsidRDefault="008629C3" w:rsidP="008629C3"/>
    <w:p w14:paraId="60F6DA53" w14:textId="77777777" w:rsidR="008629C3" w:rsidRDefault="008629C3" w:rsidP="008629C3">
      <w:pPr>
        <w:jc w:val="center"/>
        <w:rPr>
          <w:b/>
        </w:rPr>
      </w:pPr>
    </w:p>
    <w:p w14:paraId="79227967" w14:textId="77777777" w:rsidR="008629C3" w:rsidRPr="00E61528" w:rsidRDefault="008629C3" w:rsidP="008629C3">
      <w:pPr>
        <w:jc w:val="center"/>
        <w:rPr>
          <w:b/>
        </w:rPr>
      </w:pPr>
      <w:r w:rsidRPr="00E61528">
        <w:rPr>
          <w:b/>
        </w:rPr>
        <w:t xml:space="preserve">№ </w:t>
      </w:r>
      <w:r>
        <w:rPr>
          <w:b/>
        </w:rPr>
        <w:t>36</w:t>
      </w:r>
      <w:r>
        <w:rPr>
          <w:b/>
        </w:rPr>
        <w:tab/>
      </w:r>
      <w:r>
        <w:rPr>
          <w:b/>
        </w:rPr>
        <w:tab/>
      </w:r>
      <w:r>
        <w:rPr>
          <w:b/>
        </w:rPr>
        <w:tab/>
      </w:r>
      <w:r>
        <w:rPr>
          <w:b/>
        </w:rPr>
        <w:tab/>
      </w:r>
      <w:r>
        <w:rPr>
          <w:b/>
        </w:rPr>
        <w:tab/>
      </w:r>
      <w:r>
        <w:rPr>
          <w:b/>
        </w:rPr>
        <w:tab/>
      </w:r>
      <w:r>
        <w:rPr>
          <w:b/>
        </w:rPr>
        <w:tab/>
        <w:t>30 декабря</w:t>
      </w:r>
      <w:r w:rsidRPr="00E61528">
        <w:rPr>
          <w:b/>
        </w:rPr>
        <w:t xml:space="preserve"> 20</w:t>
      </w:r>
      <w:r>
        <w:rPr>
          <w:b/>
        </w:rPr>
        <w:t>20</w:t>
      </w:r>
      <w:r w:rsidRPr="00E61528">
        <w:rPr>
          <w:b/>
        </w:rPr>
        <w:t xml:space="preserve"> года</w:t>
      </w:r>
    </w:p>
    <w:p w14:paraId="3A986572" w14:textId="77777777" w:rsidR="008629C3" w:rsidRDefault="008629C3" w:rsidP="008629C3">
      <w:pPr>
        <w:tabs>
          <w:tab w:val="left" w:pos="3411"/>
        </w:tabs>
        <w:rPr>
          <w:b/>
        </w:rPr>
      </w:pPr>
    </w:p>
    <w:p w14:paraId="0378982A" w14:textId="77777777" w:rsidR="008629C3" w:rsidRPr="00C418A3" w:rsidRDefault="008629C3" w:rsidP="008629C3">
      <w:pPr>
        <w:jc w:val="center"/>
        <w:rPr>
          <w:b/>
          <w:bCs/>
          <w:szCs w:val="28"/>
        </w:rPr>
      </w:pPr>
      <w:r w:rsidRPr="00C418A3">
        <w:rPr>
          <w:b/>
          <w:bCs/>
          <w:szCs w:val="28"/>
        </w:rPr>
        <w:t>Об утверждении Учетной политики для целей бюджетного учета в Собрании депутатов Звениговского муниципального района</w:t>
      </w:r>
    </w:p>
    <w:p w14:paraId="44723D41" w14:textId="77777777" w:rsidR="008629C3" w:rsidRPr="00C418A3" w:rsidRDefault="008629C3" w:rsidP="008629C3">
      <w:pPr>
        <w:jc w:val="center"/>
        <w:rPr>
          <w:b/>
          <w:bCs/>
          <w:szCs w:val="28"/>
        </w:rPr>
      </w:pPr>
      <w:r w:rsidRPr="00C418A3">
        <w:rPr>
          <w:b/>
          <w:bCs/>
          <w:szCs w:val="28"/>
        </w:rPr>
        <w:t>Республики Марий Эл на 2021 год</w:t>
      </w:r>
    </w:p>
    <w:p w14:paraId="6DA4B0B7" w14:textId="77777777" w:rsidR="008629C3" w:rsidRPr="009D1BBC" w:rsidRDefault="008629C3" w:rsidP="008629C3">
      <w:pPr>
        <w:jc w:val="both"/>
        <w:rPr>
          <w:szCs w:val="28"/>
        </w:rPr>
      </w:pPr>
    </w:p>
    <w:p w14:paraId="621C4EF8" w14:textId="77777777" w:rsidR="008629C3" w:rsidRPr="009D1BBC" w:rsidRDefault="008629C3" w:rsidP="008629C3">
      <w:pPr>
        <w:ind w:firstLine="709"/>
        <w:jc w:val="both"/>
        <w:rPr>
          <w:color w:val="000000"/>
          <w:szCs w:val="28"/>
        </w:rPr>
      </w:pPr>
      <w:r w:rsidRPr="009D1BBC">
        <w:rPr>
          <w:szCs w:val="28"/>
        </w:rPr>
        <w:t xml:space="preserve">В соответствии с Федеральным законом от 06.12.2011 № 402-ФЗ </w:t>
      </w:r>
      <w:r>
        <w:rPr>
          <w:szCs w:val="28"/>
        </w:rPr>
        <w:br/>
      </w:r>
      <w:r w:rsidRPr="009D1BBC">
        <w:rPr>
          <w:szCs w:val="28"/>
        </w:rPr>
        <w:t xml:space="preserve">«О бухгалтерском учете», </w:t>
      </w:r>
      <w:r w:rsidRPr="009D1BBC">
        <w:rPr>
          <w:color w:val="000000"/>
          <w:szCs w:val="28"/>
        </w:rPr>
        <w:t>изменениями в приказ Минфина от 01.12.20</w:t>
      </w:r>
      <w:r>
        <w:rPr>
          <w:color w:val="000000"/>
          <w:szCs w:val="28"/>
        </w:rPr>
        <w:br/>
      </w:r>
      <w:r w:rsidRPr="009D1BBC">
        <w:rPr>
          <w:color w:val="000000"/>
          <w:szCs w:val="28"/>
        </w:rPr>
        <w:t xml:space="preserve">10 № 157н, внесенные приказом Минфина от 14.09.2020 № 198н, федеральными стандартами бухгалтерского учета для организаций государственного сектора, ст.12 Положения Собрания депутатов Звениговского муниципального района Республики Марий </w:t>
      </w:r>
      <w:proofErr w:type="gramStart"/>
      <w:r w:rsidRPr="009D1BBC">
        <w:rPr>
          <w:color w:val="000000"/>
          <w:szCs w:val="28"/>
        </w:rPr>
        <w:t>Эл:-</w:t>
      </w:r>
      <w:proofErr w:type="gramEnd"/>
      <w:r w:rsidRPr="009D1BBC">
        <w:rPr>
          <w:color w:val="000000"/>
          <w:szCs w:val="28"/>
        </w:rPr>
        <w:t xml:space="preserve"> </w:t>
      </w:r>
    </w:p>
    <w:p w14:paraId="730E6EE9" w14:textId="77777777" w:rsidR="008629C3" w:rsidRPr="009D1BBC" w:rsidRDefault="008629C3" w:rsidP="008629C3">
      <w:pPr>
        <w:ind w:firstLine="709"/>
        <w:jc w:val="both"/>
        <w:rPr>
          <w:color w:val="000000"/>
          <w:szCs w:val="28"/>
        </w:rPr>
      </w:pPr>
      <w:r w:rsidRPr="009D1BBC">
        <w:rPr>
          <w:color w:val="000000"/>
          <w:szCs w:val="28"/>
        </w:rPr>
        <w:t>1. Распространить на 2021 год Учетную политику для целей бюджетного учета, утвержденную распоряжением Собрания депутатов МО «Звениговский муниципальный район» № 28 от 29 декабря 2018 г.</w:t>
      </w:r>
    </w:p>
    <w:p w14:paraId="0BC1D34A" w14:textId="77777777" w:rsidR="008629C3" w:rsidRPr="009D1BBC" w:rsidRDefault="008629C3" w:rsidP="008629C3">
      <w:pPr>
        <w:ind w:firstLine="709"/>
        <w:jc w:val="both"/>
        <w:rPr>
          <w:color w:val="000000"/>
          <w:szCs w:val="28"/>
        </w:rPr>
      </w:pPr>
      <w:r w:rsidRPr="009D1BBC">
        <w:rPr>
          <w:color w:val="000000"/>
          <w:szCs w:val="28"/>
        </w:rPr>
        <w:t>2. Внести изменения в Учетную политику для целей бухгалтерского учета согласно приложению 1 к настоящему распоряжению.</w:t>
      </w:r>
    </w:p>
    <w:p w14:paraId="25D36E10" w14:textId="77777777" w:rsidR="008629C3" w:rsidRPr="009D1BBC" w:rsidRDefault="008629C3" w:rsidP="008629C3">
      <w:pPr>
        <w:ind w:firstLine="709"/>
        <w:jc w:val="both"/>
        <w:rPr>
          <w:color w:val="000000"/>
          <w:szCs w:val="28"/>
        </w:rPr>
      </w:pPr>
      <w:r>
        <w:rPr>
          <w:color w:val="000000"/>
          <w:szCs w:val="28"/>
        </w:rPr>
        <w:t>3</w:t>
      </w:r>
      <w:r w:rsidRPr="009D1BBC">
        <w:rPr>
          <w:color w:val="000000"/>
          <w:szCs w:val="28"/>
        </w:rPr>
        <w:t>. Внесенные изменения действуют при формировании объектов учета с 01.01.2021г.</w:t>
      </w:r>
    </w:p>
    <w:p w14:paraId="3B322DC9" w14:textId="77777777" w:rsidR="008629C3" w:rsidRPr="009D1BBC" w:rsidRDefault="008629C3" w:rsidP="008629C3">
      <w:pPr>
        <w:ind w:firstLine="709"/>
        <w:jc w:val="both"/>
        <w:rPr>
          <w:color w:val="000000"/>
          <w:szCs w:val="28"/>
        </w:rPr>
      </w:pPr>
      <w:r>
        <w:rPr>
          <w:color w:val="000000"/>
          <w:szCs w:val="28"/>
        </w:rPr>
        <w:t>4</w:t>
      </w:r>
      <w:r w:rsidRPr="009D1BBC">
        <w:rPr>
          <w:color w:val="000000"/>
          <w:szCs w:val="28"/>
        </w:rPr>
        <w:t>. Опубликовать основные положения Учетной политики в новой редакции на официальном сайте Звениговского муниципального района в течение 10 рабочих дней с даты утверждения.</w:t>
      </w:r>
    </w:p>
    <w:p w14:paraId="0F1346EC" w14:textId="77777777" w:rsidR="008629C3" w:rsidRPr="009D1BBC" w:rsidRDefault="008629C3" w:rsidP="008629C3">
      <w:pPr>
        <w:ind w:firstLine="709"/>
        <w:jc w:val="both"/>
        <w:rPr>
          <w:color w:val="000000"/>
          <w:szCs w:val="28"/>
        </w:rPr>
      </w:pPr>
      <w:r>
        <w:rPr>
          <w:color w:val="000000"/>
          <w:szCs w:val="28"/>
        </w:rPr>
        <w:t>5</w:t>
      </w:r>
      <w:r w:rsidRPr="009D1BBC">
        <w:rPr>
          <w:color w:val="000000"/>
          <w:szCs w:val="28"/>
        </w:rPr>
        <w:t xml:space="preserve">. Контроль за соблюдением Учетной политики возложить на руководителя отдела финансирования и бухгалтерского учета Администрации Звениговского муниципального района Е.А. </w:t>
      </w:r>
      <w:proofErr w:type="spellStart"/>
      <w:r w:rsidRPr="009D1BBC">
        <w:rPr>
          <w:color w:val="000000"/>
          <w:szCs w:val="28"/>
        </w:rPr>
        <w:t>Жуляеву</w:t>
      </w:r>
      <w:proofErr w:type="spellEnd"/>
      <w:r w:rsidRPr="009D1BBC">
        <w:rPr>
          <w:color w:val="000000"/>
          <w:szCs w:val="28"/>
        </w:rPr>
        <w:t>.</w:t>
      </w:r>
    </w:p>
    <w:p w14:paraId="71948979" w14:textId="77777777" w:rsidR="008629C3" w:rsidRDefault="008629C3" w:rsidP="008629C3">
      <w:pPr>
        <w:jc w:val="both"/>
        <w:rPr>
          <w:color w:val="000000"/>
          <w:szCs w:val="28"/>
        </w:rPr>
      </w:pPr>
    </w:p>
    <w:p w14:paraId="6A6ADA92" w14:textId="77777777" w:rsidR="008629C3" w:rsidRPr="009D1BBC" w:rsidRDefault="008629C3" w:rsidP="008629C3">
      <w:pPr>
        <w:jc w:val="both"/>
        <w:rPr>
          <w:color w:val="000000"/>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gridCol w:w="3330"/>
      </w:tblGrid>
      <w:tr w:rsidR="008629C3" w14:paraId="25D88F3B" w14:textId="77777777" w:rsidTr="00D93C17">
        <w:tc>
          <w:tcPr>
            <w:tcW w:w="6062" w:type="dxa"/>
          </w:tcPr>
          <w:p w14:paraId="204FF75F" w14:textId="77777777" w:rsidR="008629C3" w:rsidRDefault="008629C3" w:rsidP="00D93C17">
            <w:pPr>
              <w:tabs>
                <w:tab w:val="left" w:pos="1864"/>
              </w:tabs>
              <w:jc w:val="both"/>
            </w:pPr>
            <w:r>
              <w:t>Глава Звениговск</w:t>
            </w:r>
            <w:r w:rsidRPr="00CB2C20">
              <w:t>о</w:t>
            </w:r>
            <w:r>
              <w:t>го муниципального района</w:t>
            </w:r>
          </w:p>
        </w:tc>
        <w:tc>
          <w:tcPr>
            <w:tcW w:w="3509" w:type="dxa"/>
            <w:vAlign w:val="bottom"/>
          </w:tcPr>
          <w:p w14:paraId="36D1B34E" w14:textId="77777777" w:rsidR="008629C3" w:rsidRDefault="008629C3" w:rsidP="00D93C17">
            <w:pPr>
              <w:tabs>
                <w:tab w:val="left" w:pos="1864"/>
              </w:tabs>
              <w:jc w:val="right"/>
            </w:pPr>
            <w:r>
              <w:t xml:space="preserve">Н.В. Лабутина </w:t>
            </w:r>
          </w:p>
        </w:tc>
      </w:tr>
    </w:tbl>
    <w:p w14:paraId="7FFB8061" w14:textId="77777777" w:rsidR="008629C3" w:rsidRPr="009D1BBC" w:rsidRDefault="008629C3" w:rsidP="008629C3">
      <w:pPr>
        <w:rPr>
          <w:szCs w:val="28"/>
        </w:rPr>
      </w:pPr>
    </w:p>
    <w:p w14:paraId="6E79010C" w14:textId="77777777" w:rsidR="008629C3" w:rsidRPr="00C418A3" w:rsidRDefault="008629C3" w:rsidP="008629C3">
      <w:pPr>
        <w:rPr>
          <w:sz w:val="20"/>
        </w:rPr>
      </w:pPr>
      <w:r w:rsidRPr="00C418A3">
        <w:rPr>
          <w:sz w:val="20"/>
        </w:rPr>
        <w:t xml:space="preserve">Е.А. </w:t>
      </w:r>
      <w:proofErr w:type="spellStart"/>
      <w:r w:rsidRPr="00C418A3">
        <w:rPr>
          <w:sz w:val="20"/>
        </w:rPr>
        <w:t>Жуляева</w:t>
      </w:r>
      <w:proofErr w:type="spellEnd"/>
    </w:p>
    <w:p w14:paraId="332A1448" w14:textId="77777777" w:rsidR="008629C3" w:rsidRPr="009D1BBC" w:rsidRDefault="008629C3" w:rsidP="008629C3">
      <w:pPr>
        <w:keepNext/>
        <w:keepLines/>
        <w:jc w:val="right"/>
        <w:rPr>
          <w:szCs w:val="28"/>
        </w:rPr>
      </w:pPr>
      <w:r w:rsidRPr="009D1BBC">
        <w:rPr>
          <w:szCs w:val="28"/>
        </w:rPr>
        <w:lastRenderedPageBreak/>
        <w:t>Приложение № 1</w:t>
      </w:r>
      <w:r w:rsidRPr="009D1BBC">
        <w:rPr>
          <w:szCs w:val="28"/>
        </w:rPr>
        <w:br/>
        <w:t xml:space="preserve">к распоряжению Собрания депутатов </w:t>
      </w:r>
    </w:p>
    <w:p w14:paraId="7058EFC9" w14:textId="77777777" w:rsidR="008629C3" w:rsidRPr="009D1BBC" w:rsidRDefault="008629C3" w:rsidP="008629C3">
      <w:pPr>
        <w:keepNext/>
        <w:keepLines/>
        <w:jc w:val="right"/>
        <w:rPr>
          <w:szCs w:val="28"/>
        </w:rPr>
      </w:pPr>
      <w:r w:rsidRPr="009D1BBC">
        <w:rPr>
          <w:szCs w:val="28"/>
        </w:rPr>
        <w:t xml:space="preserve">от 30.12.2020г. №36 </w:t>
      </w:r>
      <w:r w:rsidRPr="009D1BBC">
        <w:rPr>
          <w:szCs w:val="28"/>
        </w:rPr>
        <w:br/>
      </w:r>
    </w:p>
    <w:p w14:paraId="1EF3E5DC" w14:textId="77777777" w:rsidR="008629C3" w:rsidRPr="009D1BBC" w:rsidRDefault="008629C3" w:rsidP="008629C3">
      <w:pPr>
        <w:jc w:val="center"/>
        <w:rPr>
          <w:color w:val="000000"/>
          <w:szCs w:val="28"/>
        </w:rPr>
      </w:pPr>
      <w:r w:rsidRPr="009D1BBC">
        <w:rPr>
          <w:color w:val="000000"/>
          <w:szCs w:val="28"/>
        </w:rPr>
        <w:t>Изменения в Учетную политику для целей бухгалтерского учета,</w:t>
      </w:r>
      <w:r w:rsidRPr="009D1BBC">
        <w:rPr>
          <w:szCs w:val="28"/>
        </w:rPr>
        <w:br/>
      </w:r>
      <w:r w:rsidRPr="009D1BBC">
        <w:rPr>
          <w:color w:val="000000"/>
          <w:szCs w:val="28"/>
        </w:rPr>
        <w:t xml:space="preserve"> в Собрании депутатов Звениговского муниципального района на 2021</w:t>
      </w:r>
      <w:r>
        <w:rPr>
          <w:color w:val="000000"/>
          <w:szCs w:val="28"/>
        </w:rPr>
        <w:t xml:space="preserve"> </w:t>
      </w:r>
      <w:r w:rsidRPr="009D1BBC">
        <w:rPr>
          <w:color w:val="000000"/>
          <w:szCs w:val="28"/>
        </w:rPr>
        <w:t>г</w:t>
      </w:r>
      <w:r>
        <w:rPr>
          <w:color w:val="000000"/>
          <w:szCs w:val="28"/>
        </w:rPr>
        <w:t>.</w:t>
      </w:r>
    </w:p>
    <w:p w14:paraId="0DC5FBDF" w14:textId="77777777" w:rsidR="008629C3" w:rsidRPr="009D1BBC" w:rsidRDefault="008629C3" w:rsidP="008629C3">
      <w:pPr>
        <w:rPr>
          <w:color w:val="000000"/>
          <w:szCs w:val="28"/>
        </w:rPr>
      </w:pPr>
    </w:p>
    <w:p w14:paraId="7F5C5068" w14:textId="77777777" w:rsidR="008629C3" w:rsidRPr="009D1BBC" w:rsidRDefault="008629C3" w:rsidP="008629C3">
      <w:pPr>
        <w:ind w:firstLine="709"/>
        <w:jc w:val="both"/>
        <w:rPr>
          <w:b/>
          <w:szCs w:val="28"/>
        </w:rPr>
      </w:pPr>
      <w:r w:rsidRPr="009D1BBC">
        <w:rPr>
          <w:b/>
          <w:i/>
          <w:szCs w:val="28"/>
        </w:rPr>
        <w:t>Из раздела 1. «Организационные положения» исключить:</w:t>
      </w:r>
    </w:p>
    <w:p w14:paraId="1385A10B" w14:textId="77777777" w:rsidR="008629C3" w:rsidRPr="009D1BBC" w:rsidRDefault="008629C3" w:rsidP="008629C3">
      <w:pPr>
        <w:ind w:firstLine="709"/>
        <w:jc w:val="both"/>
        <w:rPr>
          <w:b/>
          <w:szCs w:val="28"/>
        </w:rPr>
      </w:pPr>
      <w:r w:rsidRPr="009D1BBC">
        <w:rPr>
          <w:szCs w:val="28"/>
        </w:rPr>
        <w:t>-</w:t>
      </w:r>
      <w:hyperlink r:id="rId6" w:history="1">
        <w:r w:rsidRPr="009D1BBC">
          <w:rPr>
            <w:rStyle w:val="a6"/>
            <w:color w:val="000000"/>
            <w:szCs w:val="28"/>
          </w:rPr>
          <w:t>Указание</w:t>
        </w:r>
      </w:hyperlink>
      <w:r w:rsidRPr="009D1BBC">
        <w:rPr>
          <w:szCs w:val="28"/>
        </w:rPr>
        <w:t xml:space="preserve"> Банка России от 07.10.2013 № 3073-У "Об осуществлении наличных расчетов" (далее - </w:t>
      </w:r>
      <w:hyperlink r:id="rId7" w:history="1">
        <w:r w:rsidRPr="009D1BBC">
          <w:rPr>
            <w:rStyle w:val="a6"/>
            <w:color w:val="000000"/>
            <w:szCs w:val="28"/>
          </w:rPr>
          <w:t>Указание</w:t>
        </w:r>
      </w:hyperlink>
      <w:r w:rsidRPr="009D1BBC">
        <w:rPr>
          <w:color w:val="000000"/>
          <w:szCs w:val="28"/>
        </w:rPr>
        <w:t xml:space="preserve"> </w:t>
      </w:r>
      <w:r w:rsidRPr="009D1BBC">
        <w:rPr>
          <w:szCs w:val="28"/>
        </w:rPr>
        <w:t>№ 3073-У);</w:t>
      </w:r>
    </w:p>
    <w:p w14:paraId="087FCED5" w14:textId="77777777" w:rsidR="008629C3" w:rsidRPr="009D1BBC" w:rsidRDefault="008629C3" w:rsidP="008629C3">
      <w:pPr>
        <w:ind w:firstLine="709"/>
        <w:jc w:val="both"/>
        <w:rPr>
          <w:b/>
          <w:i/>
          <w:szCs w:val="28"/>
        </w:rPr>
      </w:pPr>
      <w:r w:rsidRPr="009D1BBC">
        <w:rPr>
          <w:b/>
          <w:i/>
          <w:szCs w:val="28"/>
        </w:rPr>
        <w:t xml:space="preserve">В раздел 1 «Организационные положения» добавить </w:t>
      </w:r>
      <w:proofErr w:type="gramStart"/>
      <w:r w:rsidRPr="009D1BBC">
        <w:rPr>
          <w:b/>
          <w:i/>
          <w:szCs w:val="28"/>
        </w:rPr>
        <w:t>новые  ФС</w:t>
      </w:r>
      <w:proofErr w:type="gramEnd"/>
      <w:r w:rsidRPr="009D1BBC">
        <w:rPr>
          <w:b/>
          <w:i/>
          <w:szCs w:val="28"/>
        </w:rPr>
        <w:t xml:space="preserve">: </w:t>
      </w:r>
    </w:p>
    <w:p w14:paraId="2A2E7ED2"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r w:rsidRPr="009D1BBC">
        <w:rPr>
          <w:sz w:val="28"/>
          <w:szCs w:val="28"/>
        </w:rPr>
        <w:t xml:space="preserve">Федеральный </w:t>
      </w:r>
      <w:hyperlink r:id="rId8" w:history="1">
        <w:r w:rsidRPr="009D1BBC">
          <w:rPr>
            <w:rStyle w:val="a6"/>
            <w:sz w:val="28"/>
            <w:szCs w:val="28"/>
          </w:rPr>
          <w:t>стандарт</w:t>
        </w:r>
      </w:hyperlink>
      <w:r w:rsidRPr="009D1BBC">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9" w:history="1">
        <w:r w:rsidRPr="009D1BBC">
          <w:rPr>
            <w:rStyle w:val="a6"/>
            <w:sz w:val="28"/>
            <w:szCs w:val="28"/>
          </w:rPr>
          <w:t>СГС</w:t>
        </w:r>
      </w:hyperlink>
      <w:r w:rsidRPr="009D1BBC">
        <w:rPr>
          <w:sz w:val="28"/>
          <w:szCs w:val="28"/>
        </w:rPr>
        <w:t xml:space="preserve"> "Нематериальные активы");</w:t>
      </w:r>
    </w:p>
    <w:p w14:paraId="54C41607"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r w:rsidRPr="009D1BBC">
        <w:rPr>
          <w:sz w:val="28"/>
          <w:szCs w:val="28"/>
        </w:rPr>
        <w:t xml:space="preserve">Федеральный </w:t>
      </w:r>
      <w:hyperlink r:id="rId10" w:history="1">
        <w:r w:rsidRPr="009D1BBC">
          <w:rPr>
            <w:rStyle w:val="a6"/>
            <w:sz w:val="28"/>
            <w:szCs w:val="28"/>
          </w:rPr>
          <w:t>стандарт</w:t>
        </w:r>
      </w:hyperlink>
      <w:r w:rsidRPr="009D1BBC">
        <w:rPr>
          <w:sz w:val="28"/>
          <w:szCs w:val="28"/>
        </w:rPr>
        <w:t xml:space="preserve"> бухгалтерского учета государственных финансов "Затраты по заимствованиям", утвержденный Приказом Минфина России от 15.11.2019 № 182н (далее - </w:t>
      </w:r>
      <w:hyperlink r:id="rId11" w:history="1">
        <w:r w:rsidRPr="009D1BBC">
          <w:rPr>
            <w:rStyle w:val="a6"/>
            <w:sz w:val="28"/>
            <w:szCs w:val="28"/>
          </w:rPr>
          <w:t>СГС</w:t>
        </w:r>
      </w:hyperlink>
      <w:r w:rsidRPr="009D1BBC">
        <w:rPr>
          <w:sz w:val="28"/>
          <w:szCs w:val="28"/>
        </w:rPr>
        <w:t xml:space="preserve"> "Затраты по заимствованиям");</w:t>
      </w:r>
    </w:p>
    <w:p w14:paraId="018DFF49"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r w:rsidRPr="009D1BBC">
        <w:rPr>
          <w:sz w:val="28"/>
          <w:szCs w:val="28"/>
        </w:rPr>
        <w:t xml:space="preserve">Федеральный </w:t>
      </w:r>
      <w:hyperlink r:id="rId12" w:history="1">
        <w:r w:rsidRPr="009D1BBC">
          <w:rPr>
            <w:rStyle w:val="a6"/>
            <w:sz w:val="28"/>
            <w:szCs w:val="28"/>
          </w:rPr>
          <w:t>стандарт</w:t>
        </w:r>
      </w:hyperlink>
      <w:r w:rsidRPr="009D1BBC">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13" w:history="1">
        <w:r w:rsidRPr="009D1BBC">
          <w:rPr>
            <w:rStyle w:val="a6"/>
            <w:sz w:val="28"/>
            <w:szCs w:val="28"/>
          </w:rPr>
          <w:t>СГС</w:t>
        </w:r>
      </w:hyperlink>
      <w:r w:rsidRPr="009D1BBC">
        <w:rPr>
          <w:sz w:val="28"/>
          <w:szCs w:val="28"/>
        </w:rPr>
        <w:t xml:space="preserve"> "Выплаты персоналу");</w:t>
      </w:r>
    </w:p>
    <w:p w14:paraId="3F8746D9"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r w:rsidRPr="009D1BBC">
        <w:rPr>
          <w:sz w:val="28"/>
          <w:szCs w:val="28"/>
        </w:rPr>
        <w:t xml:space="preserve">Федеральный </w:t>
      </w:r>
      <w:hyperlink r:id="rId14" w:history="1">
        <w:r w:rsidRPr="009D1BBC">
          <w:rPr>
            <w:rStyle w:val="a6"/>
            <w:sz w:val="28"/>
            <w:szCs w:val="28"/>
          </w:rPr>
          <w:t>стандарт</w:t>
        </w:r>
      </w:hyperlink>
      <w:r w:rsidRPr="009D1BBC">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15" w:history="1">
        <w:r w:rsidRPr="009D1BBC">
          <w:rPr>
            <w:rStyle w:val="a6"/>
            <w:sz w:val="28"/>
            <w:szCs w:val="28"/>
          </w:rPr>
          <w:t>СГС</w:t>
        </w:r>
      </w:hyperlink>
      <w:r w:rsidRPr="009D1BBC">
        <w:rPr>
          <w:sz w:val="28"/>
          <w:szCs w:val="28"/>
        </w:rPr>
        <w:t xml:space="preserve"> "Финансовые инструменты").</w:t>
      </w:r>
    </w:p>
    <w:p w14:paraId="43B5B692"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hyperlink r:id="rId16" w:history="1">
        <w:r w:rsidRPr="009D1BBC">
          <w:rPr>
            <w:rStyle w:val="a6"/>
            <w:sz w:val="28"/>
            <w:szCs w:val="28"/>
          </w:rPr>
          <w:t>Указание</w:t>
        </w:r>
      </w:hyperlink>
      <w:r w:rsidRPr="009D1BBC">
        <w:rPr>
          <w:sz w:val="28"/>
          <w:szCs w:val="28"/>
        </w:rPr>
        <w:t xml:space="preserve"> Банка России от 09.12.2019 № 5348-У "О правилах наличных расчетов" (далее - </w:t>
      </w:r>
      <w:hyperlink r:id="rId17" w:history="1">
        <w:r w:rsidRPr="009D1BBC">
          <w:rPr>
            <w:rStyle w:val="a6"/>
            <w:sz w:val="28"/>
            <w:szCs w:val="28"/>
          </w:rPr>
          <w:t>Указание</w:t>
        </w:r>
      </w:hyperlink>
      <w:r w:rsidRPr="009D1BBC">
        <w:rPr>
          <w:sz w:val="28"/>
          <w:szCs w:val="28"/>
        </w:rPr>
        <w:t xml:space="preserve"> № 5348-У);</w:t>
      </w:r>
    </w:p>
    <w:p w14:paraId="2D29C5C6" w14:textId="77777777" w:rsidR="008629C3" w:rsidRPr="009D1BBC" w:rsidRDefault="008629C3" w:rsidP="008629C3">
      <w:pPr>
        <w:pStyle w:val="a7"/>
        <w:numPr>
          <w:ilvl w:val="1"/>
          <w:numId w:val="2"/>
        </w:numPr>
        <w:tabs>
          <w:tab w:val="clear" w:pos="1080"/>
        </w:tabs>
        <w:spacing w:before="0" w:after="0"/>
        <w:ind w:left="0" w:firstLine="709"/>
        <w:jc w:val="both"/>
        <w:rPr>
          <w:sz w:val="28"/>
          <w:szCs w:val="28"/>
        </w:rPr>
      </w:pPr>
      <w:hyperlink r:id="rId18" w:history="1">
        <w:r w:rsidRPr="009D1BBC">
          <w:rPr>
            <w:rStyle w:val="a6"/>
            <w:sz w:val="28"/>
            <w:szCs w:val="28"/>
          </w:rPr>
          <w:t>Порядок</w:t>
        </w:r>
      </w:hyperlink>
      <w:r w:rsidRPr="009D1BBC">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19" w:history="1">
        <w:r w:rsidRPr="009D1BBC">
          <w:rPr>
            <w:rStyle w:val="a6"/>
            <w:sz w:val="28"/>
            <w:szCs w:val="28"/>
          </w:rPr>
          <w:t>Порядок</w:t>
        </w:r>
      </w:hyperlink>
      <w:r w:rsidRPr="009D1BBC">
        <w:rPr>
          <w:sz w:val="28"/>
          <w:szCs w:val="28"/>
        </w:rPr>
        <w:t xml:space="preserve"> № 85н);</w:t>
      </w:r>
    </w:p>
    <w:p w14:paraId="36950264" w14:textId="77777777" w:rsidR="008629C3" w:rsidRPr="009F2645" w:rsidRDefault="008629C3" w:rsidP="008629C3">
      <w:pPr>
        <w:pStyle w:val="a7"/>
        <w:numPr>
          <w:ilvl w:val="1"/>
          <w:numId w:val="2"/>
        </w:numPr>
        <w:tabs>
          <w:tab w:val="clear" w:pos="1080"/>
        </w:tabs>
        <w:spacing w:before="0" w:after="0"/>
        <w:ind w:left="0" w:firstLine="709"/>
        <w:jc w:val="both"/>
        <w:rPr>
          <w:sz w:val="28"/>
          <w:szCs w:val="28"/>
        </w:rPr>
      </w:pPr>
      <w:hyperlink r:id="rId20" w:history="1">
        <w:r w:rsidRPr="009D1BBC">
          <w:rPr>
            <w:rStyle w:val="a6"/>
            <w:sz w:val="28"/>
            <w:szCs w:val="28"/>
          </w:rPr>
          <w:t>Порядок</w:t>
        </w:r>
      </w:hyperlink>
      <w:r w:rsidRPr="009D1BBC">
        <w:rPr>
          <w:sz w:val="28"/>
          <w:szCs w:val="28"/>
        </w:rPr>
        <w:t xml:space="preserve"> применения классификации операций сектора</w:t>
      </w:r>
      <w:r w:rsidRPr="009F2645">
        <w:rPr>
          <w:sz w:val="28"/>
          <w:szCs w:val="28"/>
        </w:rPr>
        <w:t xml:space="preserve"> государственного управления, утвержденный Приказом Минфина России от 29.11.2017 № 209н (далее - </w:t>
      </w:r>
      <w:hyperlink r:id="rId21" w:history="1">
        <w:r w:rsidRPr="009F2645">
          <w:rPr>
            <w:rStyle w:val="a6"/>
            <w:sz w:val="28"/>
            <w:szCs w:val="28"/>
          </w:rPr>
          <w:t>Порядок</w:t>
        </w:r>
      </w:hyperlink>
      <w:r w:rsidRPr="009F2645">
        <w:rPr>
          <w:sz w:val="28"/>
          <w:szCs w:val="28"/>
        </w:rPr>
        <w:t xml:space="preserve"> применения КОСГУ, </w:t>
      </w:r>
      <w:hyperlink r:id="rId22" w:history="1">
        <w:r w:rsidRPr="009F2645">
          <w:rPr>
            <w:rStyle w:val="a6"/>
            <w:sz w:val="28"/>
            <w:szCs w:val="28"/>
          </w:rPr>
          <w:t>Порядок</w:t>
        </w:r>
      </w:hyperlink>
      <w:r w:rsidRPr="009F2645">
        <w:rPr>
          <w:sz w:val="28"/>
          <w:szCs w:val="28"/>
        </w:rPr>
        <w:t xml:space="preserve"> № 209н).</w:t>
      </w:r>
    </w:p>
    <w:p w14:paraId="0D89786B" w14:textId="77777777" w:rsidR="008629C3" w:rsidRPr="000F3318" w:rsidRDefault="008629C3" w:rsidP="008629C3">
      <w:pPr>
        <w:pStyle w:val="a7"/>
        <w:spacing w:before="0" w:after="0"/>
        <w:ind w:firstLine="709"/>
        <w:jc w:val="both"/>
        <w:rPr>
          <w:sz w:val="28"/>
          <w:szCs w:val="28"/>
        </w:rPr>
      </w:pPr>
    </w:p>
    <w:p w14:paraId="6DDD5C49" w14:textId="77777777" w:rsidR="008629C3" w:rsidRDefault="008629C3" w:rsidP="008629C3">
      <w:pPr>
        <w:pStyle w:val="a7"/>
        <w:spacing w:before="0" w:after="0"/>
        <w:ind w:firstLine="709"/>
        <w:jc w:val="both"/>
        <w:rPr>
          <w:sz w:val="28"/>
          <w:szCs w:val="28"/>
        </w:rPr>
      </w:pPr>
      <w:r w:rsidRPr="00EB6BCB">
        <w:rPr>
          <w:b/>
          <w:i/>
          <w:sz w:val="28"/>
          <w:szCs w:val="28"/>
        </w:rPr>
        <w:t>2. Добавить раздел</w:t>
      </w:r>
      <w:r w:rsidRPr="000F3318">
        <w:rPr>
          <w:sz w:val="28"/>
          <w:szCs w:val="28"/>
        </w:rPr>
        <w:t>:</w:t>
      </w:r>
      <w:bookmarkStart w:id="0" w:name="_ref_1-d830688800d04f"/>
      <w:r>
        <w:rPr>
          <w:sz w:val="28"/>
          <w:szCs w:val="28"/>
        </w:rPr>
        <w:t xml:space="preserve"> </w:t>
      </w:r>
    </w:p>
    <w:p w14:paraId="602A5E4B" w14:textId="77777777" w:rsidR="008629C3" w:rsidRPr="004D301B" w:rsidRDefault="008629C3" w:rsidP="008629C3">
      <w:pPr>
        <w:pStyle w:val="a7"/>
        <w:spacing w:before="0" w:after="0"/>
        <w:ind w:firstLine="709"/>
        <w:jc w:val="both"/>
        <w:rPr>
          <w:b/>
          <w:sz w:val="28"/>
        </w:rPr>
      </w:pPr>
      <w:r w:rsidRPr="004D301B">
        <w:rPr>
          <w:b/>
          <w:sz w:val="28"/>
        </w:rPr>
        <w:t>11. Нематериальные активы</w:t>
      </w:r>
      <w:bookmarkStart w:id="1" w:name="_ref_1-1c6787f5fc6449"/>
      <w:bookmarkEnd w:id="0"/>
    </w:p>
    <w:p w14:paraId="54705429" w14:textId="77777777" w:rsidR="008629C3" w:rsidRPr="00595005" w:rsidRDefault="008629C3" w:rsidP="008629C3">
      <w:pPr>
        <w:pStyle w:val="1"/>
        <w:numPr>
          <w:ilvl w:val="0"/>
          <w:numId w:val="0"/>
        </w:numPr>
        <w:ind w:firstLine="709"/>
        <w:jc w:val="both"/>
        <w:rPr>
          <w:b w:val="0"/>
          <w:sz w:val="28"/>
        </w:rPr>
      </w:pPr>
      <w:r>
        <w:rPr>
          <w:b w:val="0"/>
          <w:sz w:val="28"/>
        </w:rPr>
        <w:t>11</w:t>
      </w:r>
      <w:r w:rsidRPr="00595005">
        <w:rPr>
          <w:b w:val="0"/>
          <w:sz w:val="28"/>
        </w:rPr>
        <w:t>.1.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1"/>
    </w:p>
    <w:p w14:paraId="74599ED4" w14:textId="77777777" w:rsidR="008629C3" w:rsidRPr="000F3318" w:rsidRDefault="008629C3" w:rsidP="008629C3">
      <w:pPr>
        <w:ind w:firstLine="709"/>
        <w:jc w:val="both"/>
        <w:rPr>
          <w:szCs w:val="28"/>
        </w:rPr>
      </w:pPr>
      <w:r w:rsidRPr="000F3318">
        <w:rPr>
          <w:i/>
          <w:szCs w:val="28"/>
        </w:rPr>
        <w:t xml:space="preserve">(Основание: </w:t>
      </w:r>
      <w:hyperlink r:id="rId23" w:history="1">
        <w:r w:rsidRPr="000F3318">
          <w:rPr>
            <w:rStyle w:val="a6"/>
            <w:i/>
            <w:szCs w:val="28"/>
          </w:rPr>
          <w:t>п. 56</w:t>
        </w:r>
      </w:hyperlink>
      <w:r w:rsidRPr="000F3318">
        <w:rPr>
          <w:i/>
          <w:szCs w:val="28"/>
        </w:rPr>
        <w:t xml:space="preserve"> Инструкции № 157н)</w:t>
      </w:r>
    </w:p>
    <w:p w14:paraId="2D2F2779" w14:textId="77777777" w:rsidR="008629C3" w:rsidRPr="00194C7B" w:rsidRDefault="008629C3" w:rsidP="008629C3">
      <w:pPr>
        <w:pStyle w:val="2"/>
        <w:spacing w:before="0" w:after="0"/>
        <w:ind w:firstLine="709"/>
        <w:jc w:val="both"/>
        <w:rPr>
          <w:b w:val="0"/>
          <w:i w:val="0"/>
        </w:rPr>
      </w:pPr>
      <w:bookmarkStart w:id="2" w:name="_ref_1-18f7f92c96c744"/>
      <w:r w:rsidRPr="00194C7B">
        <w:rPr>
          <w:b w:val="0"/>
          <w:i w:val="0"/>
        </w:rPr>
        <w:lastRenderedPageBreak/>
        <w:t>11.2. Объект признается нематериальным активом при одновременном выполнении следующих условий:</w:t>
      </w:r>
      <w:bookmarkEnd w:id="2"/>
    </w:p>
    <w:p w14:paraId="050A1B90" w14:textId="77777777" w:rsidR="008629C3" w:rsidRPr="000F3318" w:rsidRDefault="008629C3" w:rsidP="008629C3">
      <w:pPr>
        <w:ind w:firstLine="709"/>
        <w:jc w:val="both"/>
        <w:rPr>
          <w:szCs w:val="28"/>
        </w:rPr>
      </w:pPr>
      <w:r w:rsidRPr="000F3318">
        <w:rPr>
          <w:szCs w:val="28"/>
        </w:rPr>
        <w:t>- объект способен приносить экономические выгоды в будущем;</w:t>
      </w:r>
    </w:p>
    <w:p w14:paraId="6FD0052D" w14:textId="77777777" w:rsidR="008629C3" w:rsidRPr="000F3318" w:rsidRDefault="008629C3" w:rsidP="008629C3">
      <w:pPr>
        <w:ind w:firstLine="709"/>
        <w:jc w:val="both"/>
        <w:rPr>
          <w:szCs w:val="28"/>
        </w:rPr>
      </w:pPr>
      <w:r w:rsidRPr="000F3318">
        <w:rPr>
          <w:szCs w:val="28"/>
        </w:rPr>
        <w:t>- у объекта отсутствует материально-вещественная форма;</w:t>
      </w:r>
    </w:p>
    <w:p w14:paraId="1A639373" w14:textId="77777777" w:rsidR="008629C3" w:rsidRPr="000F3318" w:rsidRDefault="008629C3" w:rsidP="008629C3">
      <w:pPr>
        <w:ind w:firstLine="709"/>
        <w:jc w:val="both"/>
        <w:rPr>
          <w:szCs w:val="28"/>
        </w:rPr>
      </w:pPr>
      <w:r w:rsidRPr="000F3318">
        <w:rPr>
          <w:szCs w:val="28"/>
        </w:rPr>
        <w:t>- объект можно отделить от другого имущества (выделить);</w:t>
      </w:r>
    </w:p>
    <w:p w14:paraId="791C5F3E" w14:textId="77777777" w:rsidR="008629C3" w:rsidRPr="000F3318" w:rsidRDefault="008629C3" w:rsidP="008629C3">
      <w:pPr>
        <w:ind w:firstLine="709"/>
        <w:jc w:val="both"/>
        <w:rPr>
          <w:szCs w:val="28"/>
        </w:rPr>
      </w:pPr>
      <w:r w:rsidRPr="000F3318">
        <w:rPr>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507EBDC4" w14:textId="77777777" w:rsidR="008629C3" w:rsidRPr="000F3318" w:rsidRDefault="008629C3" w:rsidP="008629C3">
      <w:pPr>
        <w:ind w:firstLine="709"/>
        <w:jc w:val="both"/>
        <w:rPr>
          <w:szCs w:val="28"/>
        </w:rPr>
      </w:pPr>
      <w:r w:rsidRPr="000F3318">
        <w:rPr>
          <w:szCs w:val="28"/>
        </w:rPr>
        <w:t>- не предполагается последующая перепродажа данного актива;</w:t>
      </w:r>
    </w:p>
    <w:p w14:paraId="2942E5F1" w14:textId="77777777" w:rsidR="008629C3" w:rsidRPr="000F3318" w:rsidRDefault="008629C3" w:rsidP="008629C3">
      <w:pPr>
        <w:ind w:firstLine="709"/>
        <w:jc w:val="both"/>
        <w:rPr>
          <w:szCs w:val="28"/>
        </w:rPr>
      </w:pPr>
      <w:r w:rsidRPr="000F3318">
        <w:rPr>
          <w:szCs w:val="28"/>
        </w:rPr>
        <w:t>- имеются надлежаще оформленные документы, подтверждающие существование актива;</w:t>
      </w:r>
    </w:p>
    <w:p w14:paraId="067C0AF2" w14:textId="77777777" w:rsidR="008629C3" w:rsidRPr="000F3318" w:rsidRDefault="008629C3" w:rsidP="008629C3">
      <w:pPr>
        <w:ind w:firstLine="709"/>
        <w:jc w:val="both"/>
        <w:rPr>
          <w:szCs w:val="28"/>
        </w:rPr>
      </w:pPr>
      <w:r w:rsidRPr="000F3318">
        <w:rPr>
          <w:szCs w:val="28"/>
        </w:rPr>
        <w:t>- имеются надлежаще оформленные документы, устанавливающие исключительное право на актив;</w:t>
      </w:r>
    </w:p>
    <w:p w14:paraId="5FBCA8D3" w14:textId="77777777" w:rsidR="008629C3" w:rsidRPr="000F3318" w:rsidRDefault="008629C3" w:rsidP="008629C3">
      <w:pPr>
        <w:ind w:firstLine="709"/>
        <w:jc w:val="both"/>
        <w:rPr>
          <w:szCs w:val="28"/>
        </w:rPr>
      </w:pPr>
      <w:r w:rsidRPr="000F3318">
        <w:rPr>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63A5885B" w14:textId="77777777" w:rsidR="008629C3" w:rsidRDefault="008629C3" w:rsidP="008629C3">
      <w:pPr>
        <w:ind w:firstLine="709"/>
        <w:jc w:val="both"/>
        <w:rPr>
          <w:i/>
          <w:szCs w:val="28"/>
        </w:rPr>
      </w:pPr>
      <w:r w:rsidRPr="000F3318">
        <w:rPr>
          <w:i/>
          <w:szCs w:val="28"/>
        </w:rPr>
        <w:t xml:space="preserve">(Основание: </w:t>
      </w:r>
      <w:hyperlink r:id="rId24" w:history="1">
        <w:r w:rsidRPr="000F3318">
          <w:rPr>
            <w:rStyle w:val="a6"/>
            <w:i/>
            <w:szCs w:val="28"/>
          </w:rPr>
          <w:t>п. п. 4</w:t>
        </w:r>
      </w:hyperlink>
      <w:r w:rsidRPr="000F3318">
        <w:rPr>
          <w:i/>
          <w:szCs w:val="28"/>
        </w:rPr>
        <w:t xml:space="preserve">, </w:t>
      </w:r>
      <w:hyperlink r:id="rId25" w:history="1">
        <w:r w:rsidRPr="000F3318">
          <w:rPr>
            <w:rStyle w:val="a6"/>
            <w:i/>
            <w:szCs w:val="28"/>
          </w:rPr>
          <w:t>6</w:t>
        </w:r>
      </w:hyperlink>
      <w:r w:rsidRPr="000F3318">
        <w:rPr>
          <w:i/>
          <w:szCs w:val="28"/>
        </w:rPr>
        <w:t xml:space="preserve">, </w:t>
      </w:r>
      <w:hyperlink r:id="rId26" w:history="1">
        <w:r w:rsidRPr="000F3318">
          <w:rPr>
            <w:rStyle w:val="a6"/>
            <w:i/>
            <w:szCs w:val="28"/>
          </w:rPr>
          <w:t>7</w:t>
        </w:r>
      </w:hyperlink>
      <w:r w:rsidRPr="000F3318">
        <w:rPr>
          <w:i/>
          <w:szCs w:val="28"/>
        </w:rPr>
        <w:t xml:space="preserve"> СГС "Нематериальные активы", </w:t>
      </w:r>
      <w:hyperlink r:id="rId27" w:history="1">
        <w:r w:rsidRPr="000F3318">
          <w:rPr>
            <w:rStyle w:val="a6"/>
            <w:i/>
            <w:szCs w:val="28"/>
          </w:rPr>
          <w:t>п. 56</w:t>
        </w:r>
      </w:hyperlink>
      <w:r w:rsidRPr="000F3318">
        <w:rPr>
          <w:i/>
          <w:szCs w:val="28"/>
        </w:rPr>
        <w:t xml:space="preserve"> Инструкции № 157н)</w:t>
      </w:r>
      <w:bookmarkStart w:id="3" w:name="_ref_1-85629c26479c47"/>
    </w:p>
    <w:p w14:paraId="606D05DD" w14:textId="77777777" w:rsidR="008629C3" w:rsidRPr="00595005" w:rsidRDefault="008629C3" w:rsidP="008629C3">
      <w:pPr>
        <w:ind w:firstLine="709"/>
        <w:jc w:val="both"/>
        <w:rPr>
          <w:szCs w:val="28"/>
        </w:rPr>
      </w:pPr>
      <w:r w:rsidRPr="00194C7B">
        <w:rPr>
          <w:szCs w:val="28"/>
        </w:rPr>
        <w:t>11.3</w:t>
      </w:r>
      <w:r w:rsidRPr="00595005">
        <w:rPr>
          <w:i/>
          <w:szCs w:val="28"/>
        </w:rPr>
        <w:t xml:space="preserve">. </w:t>
      </w:r>
      <w:r w:rsidRPr="00595005">
        <w:rPr>
          <w:szCs w:val="28"/>
        </w:rPr>
        <w:t>Сроком полезного использования нематериального актива является период, в течение которого предполагается использование актива.</w:t>
      </w:r>
      <w:bookmarkEnd w:id="3"/>
    </w:p>
    <w:p w14:paraId="5186E453" w14:textId="77777777" w:rsidR="008629C3" w:rsidRPr="000F3318" w:rsidRDefault="008629C3" w:rsidP="008629C3">
      <w:pPr>
        <w:ind w:firstLine="709"/>
        <w:jc w:val="both"/>
        <w:rPr>
          <w:szCs w:val="28"/>
        </w:rPr>
      </w:pPr>
      <w:r w:rsidRPr="000F3318">
        <w:rPr>
          <w:i/>
          <w:szCs w:val="28"/>
        </w:rPr>
        <w:t xml:space="preserve">(Основание: </w:t>
      </w:r>
      <w:hyperlink r:id="rId28" w:history="1">
        <w:r w:rsidRPr="000F3318">
          <w:rPr>
            <w:rStyle w:val="a6"/>
            <w:i/>
            <w:szCs w:val="28"/>
          </w:rPr>
          <w:t>п. 60</w:t>
        </w:r>
      </w:hyperlink>
      <w:r w:rsidRPr="000F3318">
        <w:rPr>
          <w:i/>
          <w:szCs w:val="28"/>
        </w:rPr>
        <w:t xml:space="preserve"> Инструкции № 157н)</w:t>
      </w:r>
    </w:p>
    <w:p w14:paraId="3EF2135A" w14:textId="77777777" w:rsidR="008629C3" w:rsidRPr="00194C7B" w:rsidRDefault="008629C3" w:rsidP="008629C3">
      <w:pPr>
        <w:pStyle w:val="2"/>
        <w:spacing w:before="0" w:after="0"/>
        <w:ind w:firstLine="709"/>
        <w:jc w:val="both"/>
        <w:rPr>
          <w:b w:val="0"/>
          <w:i w:val="0"/>
        </w:rPr>
      </w:pPr>
      <w:bookmarkStart w:id="4" w:name="_ref_1-8db694a6479843"/>
      <w:r w:rsidRPr="00194C7B">
        <w:rPr>
          <w:b w:val="0"/>
          <w:i w:val="0"/>
        </w:rPr>
        <w:t xml:space="preserve">11.4. Аналитический учет вложений в нематериальные активы ведется в </w:t>
      </w:r>
      <w:proofErr w:type="spellStart"/>
      <w:r w:rsidRPr="00194C7B">
        <w:rPr>
          <w:b w:val="0"/>
          <w:i w:val="0"/>
        </w:rPr>
        <w:t>Многографной</w:t>
      </w:r>
      <w:proofErr w:type="spellEnd"/>
      <w:r w:rsidRPr="00194C7B">
        <w:rPr>
          <w:b w:val="0"/>
          <w:i w:val="0"/>
        </w:rPr>
        <w:t xml:space="preserve"> карточке (</w:t>
      </w:r>
      <w:hyperlink r:id="rId29" w:history="1">
        <w:r w:rsidRPr="00194C7B">
          <w:rPr>
            <w:rStyle w:val="a6"/>
            <w:b w:val="0"/>
            <w:i w:val="0"/>
          </w:rPr>
          <w:t>ф. 0504054</w:t>
        </w:r>
      </w:hyperlink>
      <w:r w:rsidRPr="00194C7B">
        <w:rPr>
          <w:b w:val="0"/>
          <w:i w:val="0"/>
        </w:rPr>
        <w:t>).</w:t>
      </w:r>
      <w:bookmarkEnd w:id="4"/>
    </w:p>
    <w:p w14:paraId="67DD3D4F" w14:textId="77777777" w:rsidR="008629C3" w:rsidRDefault="008629C3" w:rsidP="008629C3">
      <w:pPr>
        <w:ind w:firstLine="709"/>
        <w:jc w:val="both"/>
        <w:rPr>
          <w:i/>
          <w:szCs w:val="28"/>
        </w:rPr>
      </w:pPr>
      <w:r w:rsidRPr="000F3318">
        <w:rPr>
          <w:i/>
          <w:szCs w:val="28"/>
        </w:rPr>
        <w:t xml:space="preserve">(Основание: </w:t>
      </w:r>
      <w:hyperlink r:id="rId30" w:history="1">
        <w:r w:rsidRPr="000F3318">
          <w:rPr>
            <w:rStyle w:val="a6"/>
            <w:i/>
            <w:szCs w:val="28"/>
          </w:rPr>
          <w:t>п. 128</w:t>
        </w:r>
      </w:hyperlink>
      <w:r w:rsidRPr="000F3318">
        <w:rPr>
          <w:i/>
          <w:szCs w:val="28"/>
        </w:rPr>
        <w:t xml:space="preserve"> Инструкции № 157н)</w:t>
      </w:r>
      <w:bookmarkStart w:id="5" w:name="_ref_1-a661337de34b44"/>
    </w:p>
    <w:p w14:paraId="2D85E2D5" w14:textId="77777777" w:rsidR="008629C3" w:rsidRPr="0059717F" w:rsidRDefault="008629C3" w:rsidP="008629C3">
      <w:pPr>
        <w:ind w:firstLine="709"/>
        <w:jc w:val="both"/>
        <w:rPr>
          <w:szCs w:val="28"/>
        </w:rPr>
      </w:pPr>
      <w:r>
        <w:rPr>
          <w:szCs w:val="28"/>
        </w:rPr>
        <w:t>11</w:t>
      </w:r>
      <w:r w:rsidRPr="0059717F">
        <w:rPr>
          <w:szCs w:val="28"/>
        </w:rPr>
        <w:t>.</w:t>
      </w:r>
      <w:proofErr w:type="gramStart"/>
      <w:r w:rsidRPr="0059717F">
        <w:rPr>
          <w:szCs w:val="28"/>
        </w:rPr>
        <w:t>5.Амортизация</w:t>
      </w:r>
      <w:proofErr w:type="gramEnd"/>
      <w:r w:rsidRPr="0059717F">
        <w:rPr>
          <w:szCs w:val="28"/>
        </w:rPr>
        <w:t xml:space="preserve"> по всем нематериальным активам начисляется линейным методом.</w:t>
      </w:r>
      <w:bookmarkEnd w:id="5"/>
    </w:p>
    <w:p w14:paraId="045BC4C6" w14:textId="77777777" w:rsidR="008629C3" w:rsidRDefault="008629C3" w:rsidP="008629C3">
      <w:pPr>
        <w:ind w:firstLine="709"/>
        <w:jc w:val="both"/>
        <w:rPr>
          <w:i/>
          <w:szCs w:val="28"/>
        </w:rPr>
      </w:pPr>
      <w:r w:rsidRPr="000F3318">
        <w:rPr>
          <w:i/>
          <w:szCs w:val="28"/>
        </w:rPr>
        <w:t xml:space="preserve">(Основание: </w:t>
      </w:r>
      <w:hyperlink r:id="rId31" w:history="1">
        <w:r w:rsidRPr="000F3318">
          <w:rPr>
            <w:rStyle w:val="a6"/>
            <w:i/>
            <w:szCs w:val="28"/>
          </w:rPr>
          <w:t>п. п. 30</w:t>
        </w:r>
      </w:hyperlink>
      <w:r w:rsidRPr="000F3318">
        <w:rPr>
          <w:i/>
          <w:szCs w:val="28"/>
        </w:rPr>
        <w:t xml:space="preserve">, </w:t>
      </w:r>
      <w:hyperlink r:id="rId32" w:history="1">
        <w:r w:rsidRPr="000F3318">
          <w:rPr>
            <w:rStyle w:val="a6"/>
            <w:i/>
            <w:szCs w:val="28"/>
          </w:rPr>
          <w:t>31</w:t>
        </w:r>
      </w:hyperlink>
      <w:r w:rsidRPr="000F3318">
        <w:rPr>
          <w:i/>
          <w:szCs w:val="28"/>
        </w:rPr>
        <w:t xml:space="preserve"> СГС "Нематериальные активы")</w:t>
      </w:r>
      <w:bookmarkStart w:id="6" w:name="_ref_1-ed50949e39484b"/>
    </w:p>
    <w:p w14:paraId="4F9886AB" w14:textId="77777777" w:rsidR="008629C3" w:rsidRPr="0059717F" w:rsidRDefault="008629C3" w:rsidP="008629C3">
      <w:pPr>
        <w:ind w:firstLine="709"/>
        <w:jc w:val="both"/>
        <w:rPr>
          <w:szCs w:val="28"/>
        </w:rPr>
      </w:pPr>
      <w:r>
        <w:rPr>
          <w:szCs w:val="28"/>
        </w:rPr>
        <w:t>11</w:t>
      </w:r>
      <w:r w:rsidRPr="0059717F">
        <w:rPr>
          <w:szCs w:val="28"/>
        </w:rPr>
        <w:t>.</w:t>
      </w:r>
      <w:proofErr w:type="gramStart"/>
      <w:r w:rsidRPr="0059717F">
        <w:rPr>
          <w:szCs w:val="28"/>
        </w:rPr>
        <w:t>6.Срок</w:t>
      </w:r>
      <w:proofErr w:type="gramEnd"/>
      <w:r w:rsidRPr="0059717F">
        <w:rPr>
          <w:szCs w:val="28"/>
        </w:rPr>
        <w:t xml:space="preserve">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
    </w:p>
    <w:p w14:paraId="29732471" w14:textId="77777777" w:rsidR="008629C3" w:rsidRPr="000F3318" w:rsidRDefault="008629C3" w:rsidP="008629C3">
      <w:pPr>
        <w:ind w:firstLine="709"/>
        <w:jc w:val="both"/>
        <w:rPr>
          <w:szCs w:val="28"/>
        </w:rPr>
      </w:pPr>
      <w:r w:rsidRPr="000F3318">
        <w:rPr>
          <w:szCs w:val="28"/>
        </w:rPr>
        <w:t xml:space="preserve">Если срок охраны конфиденциальности не установлен, в учете возникает объект </w:t>
      </w:r>
      <w:hyperlink r:id="rId33" w:history="1">
        <w:r w:rsidRPr="000F3318">
          <w:rPr>
            <w:rStyle w:val="a6"/>
            <w:szCs w:val="28"/>
          </w:rPr>
          <w:t>НМА с неопределенным сроком полезного использования</w:t>
        </w:r>
      </w:hyperlink>
      <w:r w:rsidRPr="000F3318">
        <w:rPr>
          <w:szCs w:val="28"/>
        </w:rPr>
        <w:t>.</w:t>
      </w:r>
    </w:p>
    <w:p w14:paraId="4149C01E" w14:textId="77777777" w:rsidR="008629C3" w:rsidRDefault="008629C3" w:rsidP="008629C3">
      <w:pPr>
        <w:ind w:firstLine="709"/>
        <w:jc w:val="both"/>
        <w:rPr>
          <w:i/>
          <w:szCs w:val="28"/>
        </w:rPr>
      </w:pPr>
      <w:r w:rsidRPr="000F3318">
        <w:rPr>
          <w:i/>
          <w:szCs w:val="28"/>
        </w:rPr>
        <w:t xml:space="preserve">(Основание: </w:t>
      </w:r>
      <w:hyperlink r:id="rId34" w:history="1">
        <w:r w:rsidRPr="000F3318">
          <w:rPr>
            <w:rStyle w:val="a6"/>
            <w:i/>
            <w:szCs w:val="28"/>
          </w:rPr>
          <w:t>п. 1 ст. 1465</w:t>
        </w:r>
      </w:hyperlink>
      <w:r w:rsidRPr="000F3318">
        <w:rPr>
          <w:i/>
          <w:szCs w:val="28"/>
        </w:rPr>
        <w:t xml:space="preserve">, </w:t>
      </w:r>
      <w:hyperlink r:id="rId35" w:history="1">
        <w:r w:rsidRPr="000F3318">
          <w:rPr>
            <w:rStyle w:val="a6"/>
            <w:i/>
            <w:szCs w:val="28"/>
          </w:rPr>
          <w:t>ст. 1467</w:t>
        </w:r>
      </w:hyperlink>
      <w:r w:rsidRPr="000F3318">
        <w:rPr>
          <w:i/>
          <w:szCs w:val="28"/>
        </w:rPr>
        <w:t xml:space="preserve"> ГК РФ)</w:t>
      </w:r>
      <w:bookmarkStart w:id="7" w:name="_ref_1-f8d6eaf6a4874c"/>
    </w:p>
    <w:p w14:paraId="455C1A29" w14:textId="77777777" w:rsidR="008629C3" w:rsidRPr="0059717F" w:rsidRDefault="008629C3" w:rsidP="008629C3">
      <w:pPr>
        <w:ind w:firstLine="709"/>
        <w:jc w:val="both"/>
        <w:rPr>
          <w:szCs w:val="28"/>
        </w:rPr>
      </w:pPr>
      <w:r>
        <w:rPr>
          <w:szCs w:val="28"/>
        </w:rPr>
        <w:t>11</w:t>
      </w:r>
      <w:r w:rsidRPr="004F7D0E">
        <w:rPr>
          <w:szCs w:val="28"/>
        </w:rPr>
        <w:t>.</w:t>
      </w:r>
      <w:proofErr w:type="gramStart"/>
      <w:r w:rsidRPr="004F7D0E">
        <w:rPr>
          <w:szCs w:val="28"/>
        </w:rPr>
        <w:t>7</w:t>
      </w:r>
      <w:r w:rsidRPr="0059717F">
        <w:rPr>
          <w:i/>
          <w:szCs w:val="28"/>
        </w:rPr>
        <w:t>.</w:t>
      </w:r>
      <w:r w:rsidRPr="0059717F">
        <w:rPr>
          <w:szCs w:val="28"/>
        </w:rPr>
        <w:t>Продолжительность</w:t>
      </w:r>
      <w:proofErr w:type="gramEnd"/>
      <w:r w:rsidRPr="0059717F">
        <w:rPr>
          <w:szCs w:val="28"/>
        </w:rPr>
        <w:t xml:space="preserve">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7"/>
    </w:p>
    <w:p w14:paraId="796479DF" w14:textId="77777777" w:rsidR="008629C3" w:rsidRPr="000F3318" w:rsidRDefault="008629C3" w:rsidP="008629C3">
      <w:pPr>
        <w:ind w:firstLine="709"/>
        <w:jc w:val="both"/>
        <w:rPr>
          <w:szCs w:val="28"/>
        </w:rPr>
      </w:pPr>
      <w:r w:rsidRPr="000F3318">
        <w:rPr>
          <w:szCs w:val="28"/>
        </w:rPr>
        <w:lastRenderedPageBreak/>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szCs w:val="28"/>
          <w:u w:val="single"/>
        </w:rPr>
        <w:t>20</w:t>
      </w:r>
      <w:r w:rsidRPr="000F3318">
        <w:rPr>
          <w:szCs w:val="28"/>
          <w:u w:val="single"/>
        </w:rPr>
        <w:t> </w:t>
      </w:r>
      <w:r w:rsidRPr="000F3318">
        <w:rPr>
          <w:szCs w:val="28"/>
        </w:rPr>
        <w:t>% или более от продолжительности текущего периода.</w:t>
      </w:r>
    </w:p>
    <w:p w14:paraId="1EA45E31" w14:textId="77777777" w:rsidR="008629C3" w:rsidRPr="000F3318" w:rsidRDefault="008629C3" w:rsidP="008629C3">
      <w:pPr>
        <w:ind w:firstLine="709"/>
        <w:jc w:val="both"/>
        <w:rPr>
          <w:szCs w:val="28"/>
        </w:rPr>
      </w:pPr>
      <w:r w:rsidRPr="000F3318">
        <w:rPr>
          <w:szCs w:val="28"/>
        </w:rPr>
        <w:t>Срок полезного использования таких объектов НМА подлежит уточнению.</w:t>
      </w:r>
    </w:p>
    <w:p w14:paraId="22BE5325" w14:textId="77777777" w:rsidR="008629C3" w:rsidRPr="000F3318" w:rsidRDefault="008629C3" w:rsidP="008629C3">
      <w:pPr>
        <w:ind w:firstLine="709"/>
        <w:jc w:val="both"/>
        <w:rPr>
          <w:szCs w:val="28"/>
        </w:rPr>
      </w:pPr>
      <w:r w:rsidRPr="000F3318">
        <w:rPr>
          <w:i/>
          <w:szCs w:val="28"/>
        </w:rPr>
        <w:t xml:space="preserve">(Основание: </w:t>
      </w:r>
      <w:hyperlink r:id="rId36" w:history="1">
        <w:r w:rsidRPr="000F3318">
          <w:rPr>
            <w:rStyle w:val="a6"/>
            <w:i/>
            <w:szCs w:val="28"/>
          </w:rPr>
          <w:t>п. 61</w:t>
        </w:r>
      </w:hyperlink>
      <w:r w:rsidRPr="000F3318">
        <w:rPr>
          <w:i/>
          <w:szCs w:val="28"/>
        </w:rPr>
        <w:t xml:space="preserve"> Инструкции № 157н)</w:t>
      </w:r>
    </w:p>
    <w:p w14:paraId="7A888802" w14:textId="77777777" w:rsidR="008629C3" w:rsidRDefault="008629C3" w:rsidP="008629C3">
      <w:pPr>
        <w:pStyle w:val="1"/>
        <w:numPr>
          <w:ilvl w:val="0"/>
          <w:numId w:val="0"/>
        </w:numPr>
        <w:ind w:firstLine="709"/>
        <w:jc w:val="both"/>
        <w:rPr>
          <w:i/>
          <w:sz w:val="28"/>
        </w:rPr>
      </w:pPr>
      <w:bookmarkStart w:id="8" w:name="_ref_1-391058b4711746"/>
    </w:p>
    <w:bookmarkEnd w:id="8"/>
    <w:p w14:paraId="62D69F33" w14:textId="77777777" w:rsidR="008629C3" w:rsidRPr="00BE346C" w:rsidRDefault="008629C3" w:rsidP="008629C3">
      <w:pPr>
        <w:ind w:firstLine="709"/>
        <w:jc w:val="both"/>
        <w:rPr>
          <w:b/>
          <w:i/>
          <w:szCs w:val="28"/>
        </w:rPr>
      </w:pPr>
      <w:r w:rsidRPr="00BE346C">
        <w:rPr>
          <w:b/>
          <w:i/>
          <w:szCs w:val="28"/>
        </w:rPr>
        <w:t xml:space="preserve">4. В </w:t>
      </w:r>
      <w:proofErr w:type="gramStart"/>
      <w:r w:rsidRPr="00BE346C">
        <w:rPr>
          <w:b/>
          <w:i/>
          <w:szCs w:val="28"/>
        </w:rPr>
        <w:t xml:space="preserve">раздел  </w:t>
      </w:r>
      <w:r>
        <w:rPr>
          <w:b/>
          <w:i/>
          <w:szCs w:val="28"/>
        </w:rPr>
        <w:t>5</w:t>
      </w:r>
      <w:proofErr w:type="gramEnd"/>
      <w:r>
        <w:rPr>
          <w:b/>
          <w:i/>
          <w:szCs w:val="28"/>
        </w:rPr>
        <w:t>.</w:t>
      </w:r>
      <w:r w:rsidRPr="00BE346C">
        <w:rPr>
          <w:b/>
          <w:i/>
          <w:szCs w:val="28"/>
        </w:rPr>
        <w:t xml:space="preserve"> </w:t>
      </w:r>
      <w:r>
        <w:rPr>
          <w:b/>
          <w:i/>
          <w:szCs w:val="28"/>
        </w:rPr>
        <w:t>«</w:t>
      </w:r>
      <w:r w:rsidRPr="00BE346C">
        <w:rPr>
          <w:b/>
          <w:i/>
          <w:szCs w:val="28"/>
        </w:rPr>
        <w:t>Расчеты с дебиторами и кредиторами</w:t>
      </w:r>
      <w:r>
        <w:rPr>
          <w:b/>
          <w:i/>
          <w:szCs w:val="28"/>
        </w:rPr>
        <w:t xml:space="preserve">» </w:t>
      </w:r>
      <w:r w:rsidRPr="00BE346C">
        <w:rPr>
          <w:b/>
          <w:i/>
          <w:szCs w:val="28"/>
        </w:rPr>
        <w:t xml:space="preserve"> добавить:</w:t>
      </w:r>
    </w:p>
    <w:p w14:paraId="5EA645B6" w14:textId="77777777" w:rsidR="008629C3" w:rsidRPr="00194C7B" w:rsidRDefault="008629C3" w:rsidP="008629C3">
      <w:pPr>
        <w:pStyle w:val="2"/>
        <w:keepNext w:val="0"/>
        <w:numPr>
          <w:ilvl w:val="1"/>
          <w:numId w:val="0"/>
        </w:numPr>
        <w:suppressAutoHyphens w:val="0"/>
        <w:spacing w:before="0" w:after="0" w:line="276" w:lineRule="auto"/>
        <w:ind w:firstLine="709"/>
        <w:jc w:val="both"/>
        <w:rPr>
          <w:rFonts w:ascii="Times New Roman" w:hAnsi="Times New Roman"/>
          <w:b w:val="0"/>
          <w:i w:val="0"/>
        </w:rPr>
      </w:pPr>
      <w:bookmarkStart w:id="9" w:name="_ref_1-5da98327652146"/>
      <w:r w:rsidRPr="00194C7B">
        <w:rPr>
          <w:rFonts w:ascii="Times New Roman" w:hAnsi="Times New Roman"/>
          <w:b w:val="0"/>
          <w:i w:val="0"/>
        </w:rPr>
        <w:t>5.11.</w:t>
      </w:r>
      <w:r>
        <w:rPr>
          <w:rFonts w:ascii="Times New Roman" w:hAnsi="Times New Roman"/>
          <w:b w:val="0"/>
          <w:i w:val="0"/>
        </w:rPr>
        <w:t xml:space="preserve"> </w:t>
      </w:r>
      <w:r w:rsidRPr="00194C7B">
        <w:rPr>
          <w:rFonts w:ascii="Times New Roman" w:hAnsi="Times New Roman"/>
          <w:b w:val="0"/>
          <w:i w:val="0"/>
        </w:rP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sidRPr="00194C7B">
        <w:rPr>
          <w:rFonts w:ascii="Times New Roman" w:hAnsi="Times New Roman"/>
          <w:b w:val="0"/>
          <w:i w:val="0"/>
          <w:u w:val="single"/>
        </w:rPr>
        <w:t xml:space="preserve">С (аналитический код для учета операций со связанными </w:t>
      </w:r>
      <w:proofErr w:type="gramStart"/>
      <w:r w:rsidRPr="00194C7B">
        <w:rPr>
          <w:rFonts w:ascii="Times New Roman" w:hAnsi="Times New Roman"/>
          <w:b w:val="0"/>
          <w:i w:val="0"/>
          <w:u w:val="single"/>
        </w:rPr>
        <w:t xml:space="preserve">сторонами)   </w:t>
      </w:r>
      <w:proofErr w:type="gramEnd"/>
      <w:r w:rsidRPr="00194C7B">
        <w:rPr>
          <w:rFonts w:ascii="Times New Roman" w:hAnsi="Times New Roman"/>
          <w:b w:val="0"/>
          <w:i w:val="0"/>
          <w:u w:val="single"/>
        </w:rPr>
        <w:t> </w:t>
      </w:r>
      <w:r w:rsidRPr="00194C7B">
        <w:rPr>
          <w:rFonts w:ascii="Times New Roman" w:hAnsi="Times New Roman"/>
          <w:b w:val="0"/>
          <w:i w:val="0"/>
        </w:rPr>
        <w:t>"Операции со связанными сторонами".</w:t>
      </w:r>
      <w:bookmarkEnd w:id="9"/>
    </w:p>
    <w:p w14:paraId="2BCD3D52" w14:textId="77777777" w:rsidR="008629C3" w:rsidRDefault="008629C3" w:rsidP="008629C3">
      <w:pPr>
        <w:ind w:firstLine="709"/>
        <w:jc w:val="both"/>
        <w:rPr>
          <w:i/>
          <w:szCs w:val="28"/>
        </w:rPr>
      </w:pPr>
      <w:r w:rsidRPr="00BE346C">
        <w:rPr>
          <w:i/>
          <w:szCs w:val="28"/>
        </w:rPr>
        <w:t xml:space="preserve">(Основание: </w:t>
      </w:r>
      <w:hyperlink r:id="rId37" w:history="1">
        <w:r w:rsidRPr="00BE346C">
          <w:rPr>
            <w:rStyle w:val="a6"/>
            <w:i/>
            <w:szCs w:val="28"/>
          </w:rPr>
          <w:t>п. 9</w:t>
        </w:r>
      </w:hyperlink>
      <w:r w:rsidRPr="00BE346C">
        <w:rPr>
          <w:i/>
          <w:szCs w:val="28"/>
        </w:rPr>
        <w:t xml:space="preserve"> СГС "Учетная политика" </w:t>
      </w:r>
      <w:hyperlink r:id="rId38" w:history="1">
        <w:r w:rsidRPr="00BE346C">
          <w:rPr>
            <w:rStyle w:val="a6"/>
            <w:i/>
            <w:szCs w:val="28"/>
          </w:rPr>
          <w:t>п. п. 10</w:t>
        </w:r>
      </w:hyperlink>
      <w:r w:rsidRPr="00BE346C">
        <w:rPr>
          <w:i/>
          <w:szCs w:val="28"/>
        </w:rPr>
        <w:t xml:space="preserve">, </w:t>
      </w:r>
      <w:hyperlink r:id="rId39" w:history="1">
        <w:r w:rsidRPr="00BE346C">
          <w:rPr>
            <w:rStyle w:val="a6"/>
            <w:i/>
            <w:szCs w:val="28"/>
          </w:rPr>
          <w:t>11</w:t>
        </w:r>
      </w:hyperlink>
      <w:r w:rsidRPr="00BE346C">
        <w:rPr>
          <w:i/>
          <w:szCs w:val="28"/>
        </w:rPr>
        <w:t xml:space="preserve"> СГС "Информация о связанных сторонах")</w:t>
      </w:r>
    </w:p>
    <w:p w14:paraId="7BB64355" w14:textId="77777777" w:rsidR="008629C3" w:rsidRPr="00BE346C" w:rsidRDefault="008629C3" w:rsidP="008629C3">
      <w:pPr>
        <w:ind w:firstLine="709"/>
        <w:jc w:val="both"/>
        <w:rPr>
          <w:szCs w:val="28"/>
        </w:rPr>
      </w:pPr>
    </w:p>
    <w:p w14:paraId="1A421E33" w14:textId="77777777" w:rsidR="008629C3" w:rsidRPr="004D301B" w:rsidRDefault="008629C3" w:rsidP="008629C3">
      <w:pPr>
        <w:ind w:firstLine="709"/>
        <w:jc w:val="both"/>
        <w:rPr>
          <w:b/>
          <w:i/>
          <w:color w:val="000000"/>
          <w:szCs w:val="28"/>
        </w:rPr>
      </w:pPr>
      <w:r w:rsidRPr="004D301B">
        <w:rPr>
          <w:b/>
          <w:i/>
          <w:color w:val="000000"/>
          <w:szCs w:val="28"/>
        </w:rPr>
        <w:t xml:space="preserve">5. В приложение </w:t>
      </w:r>
      <w:r>
        <w:rPr>
          <w:b/>
          <w:i/>
          <w:color w:val="000000"/>
          <w:szCs w:val="28"/>
        </w:rPr>
        <w:t>№1 к Учетной политике</w:t>
      </w:r>
      <w:r w:rsidRPr="004D301B">
        <w:rPr>
          <w:b/>
          <w:i/>
          <w:color w:val="000000"/>
          <w:szCs w:val="28"/>
        </w:rPr>
        <w:t xml:space="preserve"> «Рабочий план счетов</w:t>
      </w:r>
      <w:r>
        <w:rPr>
          <w:b/>
          <w:i/>
          <w:color w:val="000000"/>
          <w:szCs w:val="28"/>
        </w:rPr>
        <w:t xml:space="preserve"> бюджетного </w:t>
      </w:r>
      <w:proofErr w:type="gramStart"/>
      <w:r>
        <w:rPr>
          <w:b/>
          <w:i/>
          <w:color w:val="000000"/>
          <w:szCs w:val="28"/>
        </w:rPr>
        <w:t>учета</w:t>
      </w:r>
      <w:r w:rsidRPr="004D301B">
        <w:rPr>
          <w:b/>
          <w:i/>
          <w:color w:val="000000"/>
          <w:szCs w:val="28"/>
        </w:rPr>
        <w:t xml:space="preserve">» </w:t>
      </w:r>
      <w:r>
        <w:rPr>
          <w:b/>
          <w:i/>
          <w:color w:val="000000"/>
          <w:szCs w:val="28"/>
        </w:rPr>
        <w:t xml:space="preserve"> внести</w:t>
      </w:r>
      <w:proofErr w:type="gramEnd"/>
      <w:r>
        <w:rPr>
          <w:b/>
          <w:i/>
          <w:color w:val="000000"/>
          <w:szCs w:val="28"/>
        </w:rPr>
        <w:t xml:space="preserve"> следующие изменения: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9"/>
        <w:gridCol w:w="424"/>
        <w:gridCol w:w="285"/>
        <w:gridCol w:w="422"/>
        <w:gridCol w:w="426"/>
        <w:gridCol w:w="283"/>
        <w:gridCol w:w="428"/>
        <w:gridCol w:w="426"/>
        <w:gridCol w:w="283"/>
        <w:gridCol w:w="424"/>
        <w:gridCol w:w="281"/>
      </w:tblGrid>
      <w:tr w:rsidR="008629C3" w:rsidRPr="009D1BBC" w14:paraId="79833835" w14:textId="77777777" w:rsidTr="00D93C17">
        <w:trPr>
          <w:jc w:val="center"/>
        </w:trPr>
        <w:tc>
          <w:tcPr>
            <w:tcW w:w="2969" w:type="pct"/>
            <w:vAlign w:val="center"/>
          </w:tcPr>
          <w:p w14:paraId="758D49FD"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Нематериальные активы – иное движимое имущество учреждения</w:t>
            </w:r>
          </w:p>
        </w:tc>
        <w:tc>
          <w:tcPr>
            <w:tcW w:w="234" w:type="pct"/>
            <w:vAlign w:val="center"/>
          </w:tcPr>
          <w:p w14:paraId="485C6958"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7" w:type="pct"/>
            <w:vAlign w:val="center"/>
          </w:tcPr>
          <w:p w14:paraId="1C422751"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233" w:type="pct"/>
            <w:vAlign w:val="center"/>
          </w:tcPr>
          <w:p w14:paraId="30EB19CE"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1</w:t>
            </w:r>
          </w:p>
        </w:tc>
        <w:tc>
          <w:tcPr>
            <w:tcW w:w="235" w:type="pct"/>
            <w:vAlign w:val="center"/>
          </w:tcPr>
          <w:p w14:paraId="4649C356"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6" w:type="pct"/>
            <w:vAlign w:val="center"/>
          </w:tcPr>
          <w:p w14:paraId="16D7895F"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2</w:t>
            </w:r>
          </w:p>
        </w:tc>
        <w:tc>
          <w:tcPr>
            <w:tcW w:w="236" w:type="pct"/>
            <w:vAlign w:val="center"/>
          </w:tcPr>
          <w:p w14:paraId="65BDADCB"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3</w:t>
            </w:r>
          </w:p>
        </w:tc>
        <w:tc>
          <w:tcPr>
            <w:tcW w:w="235" w:type="pct"/>
            <w:vAlign w:val="center"/>
          </w:tcPr>
          <w:p w14:paraId="38C12BFF"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6" w:type="pct"/>
            <w:vAlign w:val="center"/>
          </w:tcPr>
          <w:p w14:paraId="65C1BB03"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234" w:type="pct"/>
            <w:vAlign w:val="center"/>
          </w:tcPr>
          <w:p w14:paraId="54305913"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5" w:type="pct"/>
            <w:vAlign w:val="center"/>
          </w:tcPr>
          <w:p w14:paraId="5DD618D3"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r>
      <w:tr w:rsidR="008629C3" w:rsidRPr="009D1BBC" w14:paraId="327F8958" w14:textId="77777777" w:rsidTr="00D93C17">
        <w:trPr>
          <w:jc w:val="center"/>
        </w:trPr>
        <w:tc>
          <w:tcPr>
            <w:tcW w:w="2969" w:type="pct"/>
            <w:vAlign w:val="center"/>
          </w:tcPr>
          <w:p w14:paraId="3A103620" w14:textId="77777777" w:rsidR="008629C3" w:rsidRPr="009D1BBC" w:rsidRDefault="008629C3" w:rsidP="00D93C17">
            <w:pPr>
              <w:autoSpaceDE w:val="0"/>
              <w:autoSpaceDN w:val="0"/>
              <w:adjustRightInd w:val="0"/>
              <w:jc w:val="center"/>
              <w:rPr>
                <w:b/>
                <w:color w:val="000000"/>
                <w:sz w:val="25"/>
                <w:szCs w:val="25"/>
              </w:rPr>
            </w:pPr>
            <w:r w:rsidRPr="009D1BBC">
              <w:rPr>
                <w:color w:val="000000"/>
                <w:sz w:val="25"/>
                <w:szCs w:val="25"/>
              </w:rPr>
              <w:t>Научные исследования (научно-исследовательские разработки) – иное движимое имущество учреждения</w:t>
            </w:r>
          </w:p>
        </w:tc>
        <w:tc>
          <w:tcPr>
            <w:tcW w:w="234" w:type="pct"/>
            <w:vAlign w:val="center"/>
          </w:tcPr>
          <w:p w14:paraId="1AF9409F"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7" w:type="pct"/>
            <w:vAlign w:val="center"/>
          </w:tcPr>
          <w:p w14:paraId="6730C2D1"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233" w:type="pct"/>
            <w:vAlign w:val="center"/>
          </w:tcPr>
          <w:p w14:paraId="54AEA876"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1</w:t>
            </w:r>
          </w:p>
        </w:tc>
        <w:tc>
          <w:tcPr>
            <w:tcW w:w="235" w:type="pct"/>
            <w:vAlign w:val="center"/>
          </w:tcPr>
          <w:p w14:paraId="4B819D38"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6" w:type="pct"/>
            <w:vAlign w:val="center"/>
          </w:tcPr>
          <w:p w14:paraId="46794BD4"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2</w:t>
            </w:r>
          </w:p>
        </w:tc>
        <w:tc>
          <w:tcPr>
            <w:tcW w:w="236" w:type="pct"/>
            <w:vAlign w:val="center"/>
          </w:tcPr>
          <w:p w14:paraId="365EDFBB"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3</w:t>
            </w:r>
          </w:p>
        </w:tc>
        <w:tc>
          <w:tcPr>
            <w:tcW w:w="235" w:type="pct"/>
            <w:vAlign w:val="center"/>
          </w:tcPr>
          <w:p w14:paraId="70B9C8FF" w14:textId="77777777" w:rsidR="008629C3" w:rsidRPr="009D1BBC" w:rsidRDefault="008629C3" w:rsidP="00D93C17">
            <w:pPr>
              <w:autoSpaceDE w:val="0"/>
              <w:autoSpaceDN w:val="0"/>
              <w:adjustRightInd w:val="0"/>
              <w:jc w:val="center"/>
              <w:rPr>
                <w:b/>
                <w:color w:val="000000"/>
                <w:sz w:val="25"/>
                <w:szCs w:val="25"/>
                <w:lang w:val="en-US"/>
              </w:rPr>
            </w:pPr>
            <w:r w:rsidRPr="009D1BBC">
              <w:rPr>
                <w:b/>
                <w:color w:val="000000"/>
                <w:sz w:val="25"/>
                <w:szCs w:val="25"/>
                <w:lang w:val="en-US"/>
              </w:rPr>
              <w:t>N</w:t>
            </w:r>
          </w:p>
        </w:tc>
        <w:tc>
          <w:tcPr>
            <w:tcW w:w="156" w:type="pct"/>
            <w:vAlign w:val="center"/>
          </w:tcPr>
          <w:p w14:paraId="2260C417"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234" w:type="pct"/>
            <w:vAlign w:val="center"/>
          </w:tcPr>
          <w:p w14:paraId="754F7E18"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c>
          <w:tcPr>
            <w:tcW w:w="155" w:type="pct"/>
            <w:vAlign w:val="center"/>
          </w:tcPr>
          <w:p w14:paraId="05A55376" w14:textId="77777777" w:rsidR="008629C3" w:rsidRPr="009D1BBC" w:rsidRDefault="008629C3" w:rsidP="00D93C17">
            <w:pPr>
              <w:autoSpaceDE w:val="0"/>
              <w:autoSpaceDN w:val="0"/>
              <w:adjustRightInd w:val="0"/>
              <w:jc w:val="center"/>
              <w:rPr>
                <w:b/>
                <w:color w:val="000000"/>
                <w:sz w:val="25"/>
                <w:szCs w:val="25"/>
              </w:rPr>
            </w:pPr>
            <w:r w:rsidRPr="009D1BBC">
              <w:rPr>
                <w:b/>
                <w:color w:val="000000"/>
                <w:sz w:val="25"/>
                <w:szCs w:val="25"/>
              </w:rPr>
              <w:t>0</w:t>
            </w:r>
          </w:p>
        </w:tc>
      </w:tr>
      <w:tr w:rsidR="008629C3" w:rsidRPr="009D1BBC" w14:paraId="735C4755" w14:textId="77777777" w:rsidTr="00D93C17">
        <w:trPr>
          <w:jc w:val="center"/>
        </w:trPr>
        <w:tc>
          <w:tcPr>
            <w:tcW w:w="2969" w:type="pct"/>
            <w:vAlign w:val="center"/>
          </w:tcPr>
          <w:p w14:paraId="61C4C6A4"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Увеличение стоимости научных исследований (научно-исследовательских разработок) – иного движимого имущества учреждения</w:t>
            </w:r>
          </w:p>
        </w:tc>
        <w:tc>
          <w:tcPr>
            <w:tcW w:w="234" w:type="pct"/>
            <w:vAlign w:val="center"/>
          </w:tcPr>
          <w:p w14:paraId="55055AF7"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7" w:type="pct"/>
            <w:vAlign w:val="center"/>
          </w:tcPr>
          <w:p w14:paraId="497FAA52"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3" w:type="pct"/>
            <w:vAlign w:val="center"/>
          </w:tcPr>
          <w:p w14:paraId="41B5D78B"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1</w:t>
            </w:r>
          </w:p>
        </w:tc>
        <w:tc>
          <w:tcPr>
            <w:tcW w:w="235" w:type="pct"/>
            <w:vAlign w:val="center"/>
          </w:tcPr>
          <w:p w14:paraId="781ABB78"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6" w:type="pct"/>
            <w:vAlign w:val="center"/>
          </w:tcPr>
          <w:p w14:paraId="3496F1D7"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2</w:t>
            </w:r>
          </w:p>
        </w:tc>
        <w:tc>
          <w:tcPr>
            <w:tcW w:w="236" w:type="pct"/>
            <w:vAlign w:val="center"/>
          </w:tcPr>
          <w:p w14:paraId="1DC899B4"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3</w:t>
            </w:r>
          </w:p>
        </w:tc>
        <w:tc>
          <w:tcPr>
            <w:tcW w:w="235" w:type="pct"/>
            <w:vAlign w:val="center"/>
          </w:tcPr>
          <w:p w14:paraId="33BD44A4"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N</w:t>
            </w:r>
          </w:p>
        </w:tc>
        <w:tc>
          <w:tcPr>
            <w:tcW w:w="156" w:type="pct"/>
            <w:vAlign w:val="center"/>
          </w:tcPr>
          <w:p w14:paraId="7EFF0E88"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3</w:t>
            </w:r>
          </w:p>
        </w:tc>
        <w:tc>
          <w:tcPr>
            <w:tcW w:w="234" w:type="pct"/>
            <w:vAlign w:val="center"/>
          </w:tcPr>
          <w:p w14:paraId="19DD7823"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2</w:t>
            </w:r>
          </w:p>
        </w:tc>
        <w:tc>
          <w:tcPr>
            <w:tcW w:w="155" w:type="pct"/>
            <w:vAlign w:val="center"/>
          </w:tcPr>
          <w:p w14:paraId="60568C96"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r>
      <w:tr w:rsidR="008629C3" w:rsidRPr="009D1BBC" w14:paraId="7AFA07BA" w14:textId="77777777" w:rsidTr="00D93C17">
        <w:trPr>
          <w:jc w:val="center"/>
        </w:trPr>
        <w:tc>
          <w:tcPr>
            <w:tcW w:w="2969" w:type="pct"/>
            <w:vAlign w:val="center"/>
          </w:tcPr>
          <w:p w14:paraId="362976D9"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Уменьшение стоимости научных исследований (научно-исследовательских разработок) – иного движимого имущества учреждения</w:t>
            </w:r>
          </w:p>
        </w:tc>
        <w:tc>
          <w:tcPr>
            <w:tcW w:w="234" w:type="pct"/>
            <w:vAlign w:val="center"/>
          </w:tcPr>
          <w:p w14:paraId="6FC13D1E"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7" w:type="pct"/>
            <w:vAlign w:val="center"/>
          </w:tcPr>
          <w:p w14:paraId="6352A361"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3" w:type="pct"/>
            <w:vAlign w:val="center"/>
          </w:tcPr>
          <w:p w14:paraId="7452A743"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1</w:t>
            </w:r>
          </w:p>
        </w:tc>
        <w:tc>
          <w:tcPr>
            <w:tcW w:w="235" w:type="pct"/>
            <w:vAlign w:val="center"/>
          </w:tcPr>
          <w:p w14:paraId="21E7AC2E"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6" w:type="pct"/>
            <w:vAlign w:val="center"/>
          </w:tcPr>
          <w:p w14:paraId="4FC5177C"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2</w:t>
            </w:r>
          </w:p>
        </w:tc>
        <w:tc>
          <w:tcPr>
            <w:tcW w:w="236" w:type="pct"/>
            <w:vAlign w:val="center"/>
          </w:tcPr>
          <w:p w14:paraId="5722C16B"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3</w:t>
            </w:r>
          </w:p>
        </w:tc>
        <w:tc>
          <w:tcPr>
            <w:tcW w:w="235" w:type="pct"/>
            <w:vAlign w:val="center"/>
          </w:tcPr>
          <w:p w14:paraId="6B6309C0"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N</w:t>
            </w:r>
          </w:p>
        </w:tc>
        <w:tc>
          <w:tcPr>
            <w:tcW w:w="156" w:type="pct"/>
            <w:vAlign w:val="center"/>
          </w:tcPr>
          <w:p w14:paraId="5179E975"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4</w:t>
            </w:r>
          </w:p>
        </w:tc>
        <w:tc>
          <w:tcPr>
            <w:tcW w:w="234" w:type="pct"/>
            <w:vAlign w:val="center"/>
          </w:tcPr>
          <w:p w14:paraId="4CFE1E1F"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lang w:val="en-US"/>
              </w:rPr>
              <w:t>2</w:t>
            </w:r>
          </w:p>
        </w:tc>
        <w:tc>
          <w:tcPr>
            <w:tcW w:w="155" w:type="pct"/>
            <w:vAlign w:val="center"/>
          </w:tcPr>
          <w:p w14:paraId="4BD66553"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r>
      <w:tr w:rsidR="008629C3" w:rsidRPr="009D1BBC" w14:paraId="06797708" w14:textId="77777777" w:rsidTr="00D93C17">
        <w:trPr>
          <w:jc w:val="center"/>
        </w:trPr>
        <w:tc>
          <w:tcPr>
            <w:tcW w:w="2969" w:type="pct"/>
            <w:tcBorders>
              <w:top w:val="single" w:sz="4" w:space="0" w:color="auto"/>
              <w:left w:val="single" w:sz="4" w:space="0" w:color="auto"/>
              <w:bottom w:val="single" w:sz="4" w:space="0" w:color="auto"/>
              <w:right w:val="single" w:sz="4" w:space="0" w:color="auto"/>
            </w:tcBorders>
            <w:vAlign w:val="center"/>
          </w:tcPr>
          <w:p w14:paraId="65075DF5"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Опытно-конструкторские и технологические разработки – иное движимое имущество учреждения</w:t>
            </w:r>
          </w:p>
        </w:tc>
        <w:tc>
          <w:tcPr>
            <w:tcW w:w="234" w:type="pct"/>
            <w:tcBorders>
              <w:top w:val="single" w:sz="4" w:space="0" w:color="auto"/>
              <w:left w:val="single" w:sz="4" w:space="0" w:color="auto"/>
              <w:bottom w:val="single" w:sz="4" w:space="0" w:color="auto"/>
              <w:right w:val="single" w:sz="4" w:space="0" w:color="auto"/>
            </w:tcBorders>
            <w:vAlign w:val="center"/>
          </w:tcPr>
          <w:p w14:paraId="66AC75B7"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7" w:type="pct"/>
            <w:tcBorders>
              <w:top w:val="single" w:sz="4" w:space="0" w:color="auto"/>
              <w:left w:val="single" w:sz="4" w:space="0" w:color="auto"/>
              <w:bottom w:val="single" w:sz="4" w:space="0" w:color="auto"/>
              <w:right w:val="single" w:sz="4" w:space="0" w:color="auto"/>
            </w:tcBorders>
            <w:vAlign w:val="center"/>
          </w:tcPr>
          <w:p w14:paraId="012CD509"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3" w:type="pct"/>
            <w:tcBorders>
              <w:top w:val="single" w:sz="4" w:space="0" w:color="auto"/>
              <w:left w:val="single" w:sz="4" w:space="0" w:color="auto"/>
              <w:bottom w:val="single" w:sz="4" w:space="0" w:color="auto"/>
              <w:right w:val="single" w:sz="4" w:space="0" w:color="auto"/>
            </w:tcBorders>
            <w:vAlign w:val="center"/>
          </w:tcPr>
          <w:p w14:paraId="2FF56ECC"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1</w:t>
            </w:r>
          </w:p>
        </w:tc>
        <w:tc>
          <w:tcPr>
            <w:tcW w:w="235" w:type="pct"/>
            <w:tcBorders>
              <w:top w:val="single" w:sz="4" w:space="0" w:color="auto"/>
              <w:left w:val="single" w:sz="4" w:space="0" w:color="auto"/>
              <w:bottom w:val="single" w:sz="4" w:space="0" w:color="auto"/>
              <w:right w:val="single" w:sz="4" w:space="0" w:color="auto"/>
            </w:tcBorders>
            <w:vAlign w:val="center"/>
          </w:tcPr>
          <w:p w14:paraId="75A8483F"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6" w:type="pct"/>
            <w:tcBorders>
              <w:top w:val="single" w:sz="4" w:space="0" w:color="auto"/>
              <w:left w:val="single" w:sz="4" w:space="0" w:color="auto"/>
              <w:bottom w:val="single" w:sz="4" w:space="0" w:color="auto"/>
              <w:right w:val="single" w:sz="4" w:space="0" w:color="auto"/>
            </w:tcBorders>
            <w:vAlign w:val="center"/>
          </w:tcPr>
          <w:p w14:paraId="53E890CF"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2</w:t>
            </w:r>
          </w:p>
        </w:tc>
        <w:tc>
          <w:tcPr>
            <w:tcW w:w="236" w:type="pct"/>
            <w:tcBorders>
              <w:top w:val="single" w:sz="4" w:space="0" w:color="auto"/>
              <w:left w:val="single" w:sz="4" w:space="0" w:color="auto"/>
              <w:bottom w:val="single" w:sz="4" w:space="0" w:color="auto"/>
              <w:right w:val="single" w:sz="4" w:space="0" w:color="auto"/>
            </w:tcBorders>
            <w:vAlign w:val="center"/>
          </w:tcPr>
          <w:p w14:paraId="1C08376F"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3</w:t>
            </w:r>
          </w:p>
        </w:tc>
        <w:tc>
          <w:tcPr>
            <w:tcW w:w="235" w:type="pct"/>
            <w:tcBorders>
              <w:top w:val="single" w:sz="4" w:space="0" w:color="auto"/>
              <w:left w:val="single" w:sz="4" w:space="0" w:color="auto"/>
              <w:bottom w:val="single" w:sz="4" w:space="0" w:color="auto"/>
              <w:right w:val="single" w:sz="4" w:space="0" w:color="auto"/>
            </w:tcBorders>
            <w:vAlign w:val="center"/>
          </w:tcPr>
          <w:p w14:paraId="024355D3"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R</w:t>
            </w:r>
          </w:p>
        </w:tc>
        <w:tc>
          <w:tcPr>
            <w:tcW w:w="156" w:type="pct"/>
            <w:tcBorders>
              <w:top w:val="single" w:sz="4" w:space="0" w:color="auto"/>
              <w:left w:val="single" w:sz="4" w:space="0" w:color="auto"/>
              <w:bottom w:val="single" w:sz="4" w:space="0" w:color="auto"/>
              <w:right w:val="single" w:sz="4" w:space="0" w:color="auto"/>
            </w:tcBorders>
            <w:vAlign w:val="center"/>
          </w:tcPr>
          <w:p w14:paraId="6C40317A"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4" w:type="pct"/>
            <w:tcBorders>
              <w:top w:val="single" w:sz="4" w:space="0" w:color="auto"/>
              <w:left w:val="single" w:sz="4" w:space="0" w:color="auto"/>
              <w:bottom w:val="single" w:sz="4" w:space="0" w:color="auto"/>
              <w:right w:val="single" w:sz="4" w:space="0" w:color="auto"/>
            </w:tcBorders>
            <w:vAlign w:val="center"/>
          </w:tcPr>
          <w:p w14:paraId="75B70D81"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0</w:t>
            </w:r>
          </w:p>
        </w:tc>
        <w:tc>
          <w:tcPr>
            <w:tcW w:w="155" w:type="pct"/>
            <w:tcBorders>
              <w:top w:val="single" w:sz="4" w:space="0" w:color="auto"/>
              <w:left w:val="single" w:sz="4" w:space="0" w:color="auto"/>
              <w:bottom w:val="single" w:sz="4" w:space="0" w:color="auto"/>
              <w:right w:val="single" w:sz="4" w:space="0" w:color="auto"/>
            </w:tcBorders>
            <w:vAlign w:val="center"/>
          </w:tcPr>
          <w:p w14:paraId="0A8E0C45"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r>
      <w:tr w:rsidR="008629C3" w:rsidRPr="009D1BBC" w14:paraId="2D7B1EE1" w14:textId="77777777" w:rsidTr="00D93C17">
        <w:trPr>
          <w:jc w:val="center"/>
        </w:trPr>
        <w:tc>
          <w:tcPr>
            <w:tcW w:w="2969" w:type="pct"/>
            <w:tcBorders>
              <w:top w:val="single" w:sz="4" w:space="0" w:color="auto"/>
              <w:left w:val="single" w:sz="4" w:space="0" w:color="auto"/>
              <w:bottom w:val="single" w:sz="4" w:space="0" w:color="auto"/>
              <w:right w:val="single" w:sz="4" w:space="0" w:color="auto"/>
            </w:tcBorders>
            <w:vAlign w:val="center"/>
          </w:tcPr>
          <w:p w14:paraId="7CD817B6" w14:textId="77777777" w:rsidR="008629C3" w:rsidRPr="009D1BBC" w:rsidRDefault="008629C3" w:rsidP="00D93C17">
            <w:pPr>
              <w:jc w:val="center"/>
              <w:rPr>
                <w:sz w:val="25"/>
                <w:szCs w:val="25"/>
              </w:rPr>
            </w:pPr>
            <w:r w:rsidRPr="009D1BBC">
              <w:rPr>
                <w:color w:val="000000"/>
                <w:sz w:val="25"/>
                <w:szCs w:val="25"/>
              </w:rPr>
              <w:t>Увеличение стоимости опытно-конструкторских и технологических разработок – иного движимого имущества учреждения</w:t>
            </w:r>
          </w:p>
        </w:tc>
        <w:tc>
          <w:tcPr>
            <w:tcW w:w="234" w:type="pct"/>
            <w:tcBorders>
              <w:top w:val="single" w:sz="4" w:space="0" w:color="auto"/>
              <w:left w:val="single" w:sz="4" w:space="0" w:color="auto"/>
              <w:bottom w:val="single" w:sz="4" w:space="0" w:color="auto"/>
              <w:right w:val="single" w:sz="4" w:space="0" w:color="auto"/>
            </w:tcBorders>
            <w:vAlign w:val="center"/>
          </w:tcPr>
          <w:p w14:paraId="0912AEF6"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7" w:type="pct"/>
            <w:tcBorders>
              <w:top w:val="single" w:sz="4" w:space="0" w:color="auto"/>
              <w:left w:val="single" w:sz="4" w:space="0" w:color="auto"/>
              <w:bottom w:val="single" w:sz="4" w:space="0" w:color="auto"/>
              <w:right w:val="single" w:sz="4" w:space="0" w:color="auto"/>
            </w:tcBorders>
            <w:vAlign w:val="center"/>
          </w:tcPr>
          <w:p w14:paraId="2CCEC100"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3" w:type="pct"/>
            <w:tcBorders>
              <w:top w:val="single" w:sz="4" w:space="0" w:color="auto"/>
              <w:left w:val="single" w:sz="4" w:space="0" w:color="auto"/>
              <w:bottom w:val="single" w:sz="4" w:space="0" w:color="auto"/>
              <w:right w:val="single" w:sz="4" w:space="0" w:color="auto"/>
            </w:tcBorders>
            <w:vAlign w:val="center"/>
          </w:tcPr>
          <w:p w14:paraId="12CEE83B"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1</w:t>
            </w:r>
          </w:p>
        </w:tc>
        <w:tc>
          <w:tcPr>
            <w:tcW w:w="235" w:type="pct"/>
            <w:tcBorders>
              <w:top w:val="single" w:sz="4" w:space="0" w:color="auto"/>
              <w:left w:val="single" w:sz="4" w:space="0" w:color="auto"/>
              <w:bottom w:val="single" w:sz="4" w:space="0" w:color="auto"/>
              <w:right w:val="single" w:sz="4" w:space="0" w:color="auto"/>
            </w:tcBorders>
            <w:vAlign w:val="center"/>
          </w:tcPr>
          <w:p w14:paraId="26AFE0FF"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6" w:type="pct"/>
            <w:tcBorders>
              <w:top w:val="single" w:sz="4" w:space="0" w:color="auto"/>
              <w:left w:val="single" w:sz="4" w:space="0" w:color="auto"/>
              <w:bottom w:val="single" w:sz="4" w:space="0" w:color="auto"/>
              <w:right w:val="single" w:sz="4" w:space="0" w:color="auto"/>
            </w:tcBorders>
            <w:vAlign w:val="center"/>
          </w:tcPr>
          <w:p w14:paraId="44576E01"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2</w:t>
            </w:r>
          </w:p>
        </w:tc>
        <w:tc>
          <w:tcPr>
            <w:tcW w:w="236" w:type="pct"/>
            <w:tcBorders>
              <w:top w:val="single" w:sz="4" w:space="0" w:color="auto"/>
              <w:left w:val="single" w:sz="4" w:space="0" w:color="auto"/>
              <w:bottom w:val="single" w:sz="4" w:space="0" w:color="auto"/>
              <w:right w:val="single" w:sz="4" w:space="0" w:color="auto"/>
            </w:tcBorders>
            <w:vAlign w:val="center"/>
          </w:tcPr>
          <w:p w14:paraId="6923EE42"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3</w:t>
            </w:r>
          </w:p>
        </w:tc>
        <w:tc>
          <w:tcPr>
            <w:tcW w:w="235" w:type="pct"/>
            <w:tcBorders>
              <w:top w:val="single" w:sz="4" w:space="0" w:color="auto"/>
              <w:left w:val="single" w:sz="4" w:space="0" w:color="auto"/>
              <w:bottom w:val="single" w:sz="4" w:space="0" w:color="auto"/>
              <w:right w:val="single" w:sz="4" w:space="0" w:color="auto"/>
            </w:tcBorders>
            <w:vAlign w:val="center"/>
          </w:tcPr>
          <w:p w14:paraId="22784846"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R</w:t>
            </w:r>
          </w:p>
        </w:tc>
        <w:tc>
          <w:tcPr>
            <w:tcW w:w="156" w:type="pct"/>
            <w:tcBorders>
              <w:top w:val="single" w:sz="4" w:space="0" w:color="auto"/>
              <w:left w:val="single" w:sz="4" w:space="0" w:color="auto"/>
              <w:bottom w:val="single" w:sz="4" w:space="0" w:color="auto"/>
              <w:right w:val="single" w:sz="4" w:space="0" w:color="auto"/>
            </w:tcBorders>
            <w:vAlign w:val="center"/>
          </w:tcPr>
          <w:p w14:paraId="7B79674A"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3</w:t>
            </w:r>
          </w:p>
        </w:tc>
        <w:tc>
          <w:tcPr>
            <w:tcW w:w="234" w:type="pct"/>
            <w:tcBorders>
              <w:top w:val="single" w:sz="4" w:space="0" w:color="auto"/>
              <w:left w:val="single" w:sz="4" w:space="0" w:color="auto"/>
              <w:bottom w:val="single" w:sz="4" w:space="0" w:color="auto"/>
              <w:right w:val="single" w:sz="4" w:space="0" w:color="auto"/>
            </w:tcBorders>
            <w:vAlign w:val="center"/>
          </w:tcPr>
          <w:p w14:paraId="7B7C751F"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2</w:t>
            </w:r>
          </w:p>
        </w:tc>
        <w:tc>
          <w:tcPr>
            <w:tcW w:w="155" w:type="pct"/>
            <w:tcBorders>
              <w:top w:val="single" w:sz="4" w:space="0" w:color="auto"/>
              <w:left w:val="single" w:sz="4" w:space="0" w:color="auto"/>
              <w:bottom w:val="single" w:sz="4" w:space="0" w:color="auto"/>
              <w:right w:val="single" w:sz="4" w:space="0" w:color="auto"/>
            </w:tcBorders>
            <w:vAlign w:val="center"/>
          </w:tcPr>
          <w:p w14:paraId="70A60E2F"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r>
      <w:tr w:rsidR="008629C3" w:rsidRPr="009D1BBC" w14:paraId="501A76D3" w14:textId="77777777" w:rsidTr="00D93C17">
        <w:trPr>
          <w:jc w:val="center"/>
        </w:trPr>
        <w:tc>
          <w:tcPr>
            <w:tcW w:w="2969" w:type="pct"/>
            <w:tcBorders>
              <w:top w:val="single" w:sz="4" w:space="0" w:color="auto"/>
              <w:left w:val="single" w:sz="4" w:space="0" w:color="auto"/>
              <w:bottom w:val="single" w:sz="4" w:space="0" w:color="auto"/>
              <w:right w:val="single" w:sz="4" w:space="0" w:color="auto"/>
            </w:tcBorders>
            <w:vAlign w:val="center"/>
          </w:tcPr>
          <w:p w14:paraId="675C76AD" w14:textId="77777777" w:rsidR="008629C3" w:rsidRPr="009D1BBC" w:rsidRDefault="008629C3" w:rsidP="00D93C17">
            <w:pPr>
              <w:jc w:val="center"/>
              <w:rPr>
                <w:sz w:val="25"/>
                <w:szCs w:val="25"/>
              </w:rPr>
            </w:pPr>
            <w:r w:rsidRPr="009D1BBC">
              <w:rPr>
                <w:color w:val="000000"/>
                <w:sz w:val="25"/>
                <w:szCs w:val="25"/>
              </w:rPr>
              <w:t>Уменьшение стоимости опытно-конструкторских и технологических разработок – иного движимого имущества учреждения</w:t>
            </w:r>
          </w:p>
        </w:tc>
        <w:tc>
          <w:tcPr>
            <w:tcW w:w="234" w:type="pct"/>
            <w:tcBorders>
              <w:top w:val="single" w:sz="4" w:space="0" w:color="auto"/>
              <w:left w:val="single" w:sz="4" w:space="0" w:color="auto"/>
              <w:bottom w:val="single" w:sz="4" w:space="0" w:color="auto"/>
              <w:right w:val="single" w:sz="4" w:space="0" w:color="auto"/>
            </w:tcBorders>
            <w:vAlign w:val="center"/>
          </w:tcPr>
          <w:p w14:paraId="6141BBFD"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7" w:type="pct"/>
            <w:tcBorders>
              <w:top w:val="single" w:sz="4" w:space="0" w:color="auto"/>
              <w:left w:val="single" w:sz="4" w:space="0" w:color="auto"/>
              <w:bottom w:val="single" w:sz="4" w:space="0" w:color="auto"/>
              <w:right w:val="single" w:sz="4" w:space="0" w:color="auto"/>
            </w:tcBorders>
            <w:vAlign w:val="center"/>
          </w:tcPr>
          <w:p w14:paraId="31D5BD64"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233" w:type="pct"/>
            <w:tcBorders>
              <w:top w:val="single" w:sz="4" w:space="0" w:color="auto"/>
              <w:left w:val="single" w:sz="4" w:space="0" w:color="auto"/>
              <w:bottom w:val="single" w:sz="4" w:space="0" w:color="auto"/>
              <w:right w:val="single" w:sz="4" w:space="0" w:color="auto"/>
            </w:tcBorders>
            <w:vAlign w:val="center"/>
          </w:tcPr>
          <w:p w14:paraId="6FCF6F0E"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1</w:t>
            </w:r>
          </w:p>
        </w:tc>
        <w:tc>
          <w:tcPr>
            <w:tcW w:w="235" w:type="pct"/>
            <w:tcBorders>
              <w:top w:val="single" w:sz="4" w:space="0" w:color="auto"/>
              <w:left w:val="single" w:sz="4" w:space="0" w:color="auto"/>
              <w:bottom w:val="single" w:sz="4" w:space="0" w:color="auto"/>
              <w:right w:val="single" w:sz="4" w:space="0" w:color="auto"/>
            </w:tcBorders>
            <w:vAlign w:val="center"/>
          </w:tcPr>
          <w:p w14:paraId="03E4621A"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c>
          <w:tcPr>
            <w:tcW w:w="156" w:type="pct"/>
            <w:tcBorders>
              <w:top w:val="single" w:sz="4" w:space="0" w:color="auto"/>
              <w:left w:val="single" w:sz="4" w:space="0" w:color="auto"/>
              <w:bottom w:val="single" w:sz="4" w:space="0" w:color="auto"/>
              <w:right w:val="single" w:sz="4" w:space="0" w:color="auto"/>
            </w:tcBorders>
            <w:vAlign w:val="center"/>
          </w:tcPr>
          <w:p w14:paraId="6B943637"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2</w:t>
            </w:r>
          </w:p>
        </w:tc>
        <w:tc>
          <w:tcPr>
            <w:tcW w:w="236" w:type="pct"/>
            <w:tcBorders>
              <w:top w:val="single" w:sz="4" w:space="0" w:color="auto"/>
              <w:left w:val="single" w:sz="4" w:space="0" w:color="auto"/>
              <w:bottom w:val="single" w:sz="4" w:space="0" w:color="auto"/>
              <w:right w:val="single" w:sz="4" w:space="0" w:color="auto"/>
            </w:tcBorders>
            <w:vAlign w:val="center"/>
          </w:tcPr>
          <w:p w14:paraId="2FF0D3B8"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3</w:t>
            </w:r>
          </w:p>
        </w:tc>
        <w:tc>
          <w:tcPr>
            <w:tcW w:w="235" w:type="pct"/>
            <w:tcBorders>
              <w:top w:val="single" w:sz="4" w:space="0" w:color="auto"/>
              <w:left w:val="single" w:sz="4" w:space="0" w:color="auto"/>
              <w:bottom w:val="single" w:sz="4" w:space="0" w:color="auto"/>
              <w:right w:val="single" w:sz="4" w:space="0" w:color="auto"/>
            </w:tcBorders>
            <w:vAlign w:val="center"/>
          </w:tcPr>
          <w:p w14:paraId="44F6F782"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R</w:t>
            </w:r>
          </w:p>
        </w:tc>
        <w:tc>
          <w:tcPr>
            <w:tcW w:w="156" w:type="pct"/>
            <w:tcBorders>
              <w:top w:val="single" w:sz="4" w:space="0" w:color="auto"/>
              <w:left w:val="single" w:sz="4" w:space="0" w:color="auto"/>
              <w:bottom w:val="single" w:sz="4" w:space="0" w:color="auto"/>
              <w:right w:val="single" w:sz="4" w:space="0" w:color="auto"/>
            </w:tcBorders>
            <w:vAlign w:val="center"/>
          </w:tcPr>
          <w:p w14:paraId="518222DF"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4</w:t>
            </w:r>
          </w:p>
        </w:tc>
        <w:tc>
          <w:tcPr>
            <w:tcW w:w="234" w:type="pct"/>
            <w:tcBorders>
              <w:top w:val="single" w:sz="4" w:space="0" w:color="auto"/>
              <w:left w:val="single" w:sz="4" w:space="0" w:color="auto"/>
              <w:bottom w:val="single" w:sz="4" w:space="0" w:color="auto"/>
              <w:right w:val="single" w:sz="4" w:space="0" w:color="auto"/>
            </w:tcBorders>
            <w:vAlign w:val="center"/>
          </w:tcPr>
          <w:p w14:paraId="0880AD64" w14:textId="77777777" w:rsidR="008629C3" w:rsidRPr="009D1BBC" w:rsidRDefault="008629C3" w:rsidP="00D93C17">
            <w:pPr>
              <w:autoSpaceDE w:val="0"/>
              <w:autoSpaceDN w:val="0"/>
              <w:adjustRightInd w:val="0"/>
              <w:jc w:val="center"/>
              <w:rPr>
                <w:color w:val="000000"/>
                <w:sz w:val="25"/>
                <w:szCs w:val="25"/>
                <w:lang w:val="en-US"/>
              </w:rPr>
            </w:pPr>
            <w:r w:rsidRPr="009D1BBC">
              <w:rPr>
                <w:color w:val="000000"/>
                <w:sz w:val="25"/>
                <w:szCs w:val="25"/>
                <w:lang w:val="en-US"/>
              </w:rPr>
              <w:t>2</w:t>
            </w:r>
          </w:p>
        </w:tc>
        <w:tc>
          <w:tcPr>
            <w:tcW w:w="155" w:type="pct"/>
            <w:tcBorders>
              <w:top w:val="single" w:sz="4" w:space="0" w:color="auto"/>
              <w:left w:val="single" w:sz="4" w:space="0" w:color="auto"/>
              <w:bottom w:val="single" w:sz="4" w:space="0" w:color="auto"/>
              <w:right w:val="single" w:sz="4" w:space="0" w:color="auto"/>
            </w:tcBorders>
            <w:vAlign w:val="center"/>
          </w:tcPr>
          <w:p w14:paraId="4B8889C7" w14:textId="77777777" w:rsidR="008629C3" w:rsidRPr="009D1BBC" w:rsidRDefault="008629C3" w:rsidP="00D93C17">
            <w:pPr>
              <w:autoSpaceDE w:val="0"/>
              <w:autoSpaceDN w:val="0"/>
              <w:adjustRightInd w:val="0"/>
              <w:jc w:val="center"/>
              <w:rPr>
                <w:color w:val="000000"/>
                <w:sz w:val="25"/>
                <w:szCs w:val="25"/>
              </w:rPr>
            </w:pPr>
            <w:r w:rsidRPr="009D1BBC">
              <w:rPr>
                <w:color w:val="000000"/>
                <w:sz w:val="25"/>
                <w:szCs w:val="25"/>
              </w:rPr>
              <w:t>0</w:t>
            </w:r>
          </w:p>
        </w:tc>
      </w:tr>
    </w:tbl>
    <w:p w14:paraId="224D6D32" w14:textId="77777777" w:rsidR="008629C3" w:rsidRDefault="008629C3" w:rsidP="008629C3">
      <w:pPr>
        <w:spacing w:after="160" w:line="259" w:lineRule="auto"/>
      </w:pPr>
    </w:p>
    <w:p w14:paraId="738BC839" w14:textId="77777777" w:rsidR="008629C3" w:rsidRDefault="008629C3"/>
    <w:sectPr w:rsidR="008629C3" w:rsidSect="003706E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AF737A"/>
    <w:multiLevelType w:val="hybridMultilevel"/>
    <w:tmpl w:val="E074401A"/>
    <w:lvl w:ilvl="0" w:tplc="29F4E912">
      <w:start w:val="1"/>
      <w:numFmt w:val="decimal"/>
      <w:pStyle w:val="1"/>
      <w:lvlText w:val="%1."/>
      <w:lvlJc w:val="left"/>
      <w:pPr>
        <w:ind w:left="1485" w:hanging="90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C3"/>
    <w:rsid w:val="0086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EEAB"/>
  <w15:chartTrackingRefBased/>
  <w15:docId w15:val="{D9FBFB1F-5B5E-4EF3-A301-947B1707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9C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629C3"/>
    <w:pPr>
      <w:keepNext/>
      <w:numPr>
        <w:numId w:val="1"/>
      </w:numPr>
      <w:suppressAutoHyphens/>
      <w:jc w:val="center"/>
      <w:outlineLvl w:val="0"/>
    </w:pPr>
    <w:rPr>
      <w:b/>
      <w:bCs/>
      <w:sz w:val="26"/>
      <w:lang w:eastAsia="ar-SA"/>
    </w:rPr>
  </w:style>
  <w:style w:type="paragraph" w:styleId="2">
    <w:name w:val="heading 2"/>
    <w:basedOn w:val="a"/>
    <w:next w:val="a"/>
    <w:link w:val="20"/>
    <w:uiPriority w:val="9"/>
    <w:unhideWhenUsed/>
    <w:qFormat/>
    <w:rsid w:val="008629C3"/>
    <w:pPr>
      <w:keepNext/>
      <w:suppressAutoHyphens/>
      <w:spacing w:before="240" w:after="60"/>
      <w:outlineLvl w:val="1"/>
    </w:pPr>
    <w:rPr>
      <w:rFonts w:ascii="Cambria" w:hAnsi="Cambria"/>
      <w:b/>
      <w:bCs/>
      <w:i/>
      <w:i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9C3"/>
    <w:rPr>
      <w:rFonts w:ascii="Times New Roman" w:eastAsia="Times New Roman" w:hAnsi="Times New Roman" w:cs="Times New Roman"/>
      <w:b/>
      <w:bCs/>
      <w:sz w:val="26"/>
      <w:szCs w:val="20"/>
      <w:lang w:eastAsia="ar-SA"/>
    </w:rPr>
  </w:style>
  <w:style w:type="character" w:customStyle="1" w:styleId="20">
    <w:name w:val="Заголовок 2 Знак"/>
    <w:basedOn w:val="a0"/>
    <w:link w:val="2"/>
    <w:uiPriority w:val="9"/>
    <w:rsid w:val="008629C3"/>
    <w:rPr>
      <w:rFonts w:ascii="Cambria" w:eastAsia="Times New Roman" w:hAnsi="Cambria" w:cs="Times New Roman"/>
      <w:b/>
      <w:bCs/>
      <w:i/>
      <w:iCs/>
      <w:sz w:val="28"/>
      <w:szCs w:val="28"/>
      <w:lang w:eastAsia="ar-SA"/>
    </w:rPr>
  </w:style>
  <w:style w:type="paragraph" w:styleId="a3">
    <w:name w:val="Body Text"/>
    <w:basedOn w:val="a"/>
    <w:link w:val="a4"/>
    <w:rsid w:val="008629C3"/>
    <w:pPr>
      <w:jc w:val="center"/>
    </w:pPr>
    <w:rPr>
      <w:b/>
      <w:bCs/>
    </w:rPr>
  </w:style>
  <w:style w:type="character" w:customStyle="1" w:styleId="a4">
    <w:name w:val="Основной текст Знак"/>
    <w:basedOn w:val="a0"/>
    <w:link w:val="a3"/>
    <w:rsid w:val="008629C3"/>
    <w:rPr>
      <w:rFonts w:ascii="Times New Roman" w:eastAsia="Times New Roman" w:hAnsi="Times New Roman" w:cs="Times New Roman"/>
      <w:b/>
      <w:bCs/>
      <w:sz w:val="28"/>
      <w:szCs w:val="20"/>
      <w:lang w:eastAsia="ru-RU"/>
    </w:rPr>
  </w:style>
  <w:style w:type="table" w:styleId="a5">
    <w:name w:val="Table Grid"/>
    <w:basedOn w:val="a1"/>
    <w:uiPriority w:val="59"/>
    <w:rsid w:val="0086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8629C3"/>
    <w:rPr>
      <w:color w:val="0000FF"/>
      <w:u w:val="single"/>
    </w:rPr>
  </w:style>
  <w:style w:type="paragraph" w:styleId="a7">
    <w:name w:val="List Paragraph"/>
    <w:basedOn w:val="a"/>
    <w:uiPriority w:val="34"/>
    <w:qFormat/>
    <w:rsid w:val="008629C3"/>
    <w:pPr>
      <w:spacing w:before="120" w:after="120" w:line="276" w:lineRule="auto"/>
      <w:ind w:firstLine="482"/>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2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9"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3" Type="http://schemas.openxmlformats.org/officeDocument/2006/relationships/settings" Target="settings.xml"/><Relationship Id="rId2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8"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2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3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37"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0"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1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3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2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1</cp:revision>
  <dcterms:created xsi:type="dcterms:W3CDTF">2021-01-19T05:36:00Z</dcterms:created>
  <dcterms:modified xsi:type="dcterms:W3CDTF">2021-01-19T05:36:00Z</dcterms:modified>
</cp:coreProperties>
</file>